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江苏常熟农村商业银行股份有限公司</w:t>
      </w:r>
    </w:p>
    <w:p>
      <w:pPr>
        <w:tabs>
          <w:tab w:val="left" w:pos="8280"/>
        </w:tabs>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招标编号：</w:t>
      </w:r>
      <w:r>
        <w:rPr>
          <w:rFonts w:hint="eastAsia" w:ascii="仿宋" w:hAnsi="仿宋" w:eastAsia="仿宋" w:cs="仿宋"/>
          <w:b/>
          <w:color w:val="000000"/>
          <w:sz w:val="28"/>
          <w:szCs w:val="28"/>
          <w:lang w:val="en-US" w:eastAsia="zh-CN"/>
        </w:rPr>
        <w:t>20200059</w:t>
      </w: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pStyle w:val="2"/>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江苏常熟农村商业银行股份有限公司</w:t>
      </w:r>
    </w:p>
    <w:p>
      <w:pPr>
        <w:pStyle w:val="2"/>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招标书</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ind w:firstLine="624"/>
        <w:jc w:val="center"/>
        <w:rPr>
          <w:rFonts w:hint="eastAsia" w:ascii="仿宋" w:hAnsi="仿宋" w:eastAsia="仿宋" w:cs="仿宋"/>
          <w:b/>
          <w:snapToGrid w:val="0"/>
          <w:color w:val="000000"/>
          <w:sz w:val="28"/>
          <w:szCs w:val="28"/>
          <w:highlight w:val="yellow"/>
          <w:lang w:eastAsia="zh-CN"/>
        </w:rPr>
      </w:pPr>
      <w:r>
        <w:rPr>
          <w:rFonts w:hint="eastAsia" w:ascii="仿宋" w:hAnsi="仿宋" w:eastAsia="仿宋" w:cs="仿宋"/>
          <w:b/>
          <w:snapToGrid w:val="0"/>
          <w:color w:val="000000"/>
          <w:sz w:val="30"/>
          <w:szCs w:val="30"/>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 w:hAnsi="仿宋" w:eastAsia="仿宋" w:cs="仿宋"/>
          <w:b w:val="0"/>
          <w:bCs/>
          <w:snapToGrid w:val="0"/>
          <w:color w:val="000000"/>
          <w:sz w:val="32"/>
          <w:szCs w:val="32"/>
          <w:highlight w:val="none"/>
        </w:rPr>
      </w:pPr>
      <w:r>
        <w:rPr>
          <w:rFonts w:hint="eastAsia" w:ascii="仿宋" w:hAnsi="仿宋" w:eastAsia="仿宋" w:cs="仿宋"/>
          <w:b w:val="0"/>
          <w:bCs/>
          <w:snapToGrid w:val="0"/>
          <w:color w:val="000000"/>
          <w:sz w:val="32"/>
          <w:szCs w:val="32"/>
          <w:highlight w:val="none"/>
          <w:lang w:eastAsia="zh-CN"/>
        </w:rPr>
        <w:t>二〇二〇年六</w:t>
      </w:r>
      <w:r>
        <w:rPr>
          <w:rFonts w:hint="eastAsia" w:ascii="仿宋" w:hAnsi="仿宋" w:eastAsia="仿宋" w:cs="仿宋"/>
          <w:b w:val="0"/>
          <w:bCs/>
          <w:snapToGrid w:val="0"/>
          <w:color w:val="000000"/>
          <w:sz w:val="32"/>
          <w:szCs w:val="32"/>
          <w:highlight w:val="none"/>
        </w:rPr>
        <w:t>月</w:t>
      </w:r>
      <w:r>
        <w:rPr>
          <w:rFonts w:hint="eastAsia" w:ascii="仿宋" w:hAnsi="仿宋" w:eastAsia="仿宋" w:cs="仿宋"/>
          <w:b w:val="0"/>
          <w:bCs/>
          <w:snapToGrid w:val="0"/>
          <w:color w:val="000000"/>
          <w:sz w:val="32"/>
          <w:szCs w:val="32"/>
          <w:highlight w:val="none"/>
          <w:lang w:val="en-US" w:eastAsia="zh-CN"/>
        </w:rPr>
        <w:t>一</w:t>
      </w:r>
      <w:r>
        <w:rPr>
          <w:rFonts w:hint="eastAsia" w:ascii="仿宋" w:hAnsi="仿宋" w:eastAsia="仿宋" w:cs="仿宋"/>
          <w:b w:val="0"/>
          <w:bCs/>
          <w:snapToGrid w:val="0"/>
          <w:color w:val="000000"/>
          <w:sz w:val="32"/>
          <w:szCs w:val="32"/>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 w:hAnsi="仿宋" w:eastAsia="仿宋" w:cs="仿宋"/>
          <w:b/>
          <w:bCs/>
          <w:snapToGrid w:val="0"/>
          <w:color w:val="000000"/>
          <w:sz w:val="32"/>
        </w:rPr>
      </w:pPr>
      <w:r>
        <w:rPr>
          <w:rFonts w:hint="eastAsia" w:ascii="宋体" w:hAnsi="宋体"/>
          <w:b/>
          <w:bCs/>
          <w:snapToGrid w:val="0"/>
          <w:color w:val="000000"/>
          <w:sz w:val="32"/>
        </w:rPr>
        <w:br w:type="page"/>
      </w:r>
      <w:r>
        <w:rPr>
          <w:rFonts w:hint="eastAsia" w:ascii="仿宋" w:hAnsi="仿宋" w:eastAsia="仿宋" w:cs="仿宋"/>
          <w:b/>
          <w:bCs/>
          <w:snapToGrid w:val="0"/>
          <w:color w:val="000000"/>
          <w:sz w:val="32"/>
        </w:rPr>
        <w:t>申   明</w:t>
      </w:r>
    </w:p>
    <w:p>
      <w:pPr>
        <w:autoSpaceDE w:val="0"/>
        <w:autoSpaceDN w:val="0"/>
        <w:adjustRightInd w:val="0"/>
        <w:spacing w:line="560" w:lineRule="atLeast"/>
        <w:ind w:firstLine="624"/>
        <w:jc w:val="center"/>
        <w:rPr>
          <w:rFonts w:hint="eastAsia" w:ascii="仿宋" w:hAnsi="仿宋" w:eastAsia="仿宋" w:cs="仿宋"/>
          <w:b/>
          <w:bCs/>
          <w:snapToGrid w:val="0"/>
          <w:color w:val="000000"/>
          <w:sz w:val="32"/>
        </w:rPr>
      </w:pPr>
    </w:p>
    <w:p>
      <w:pPr>
        <w:wordWrap w:val="0"/>
        <w:autoSpaceDE w:val="0"/>
        <w:autoSpaceDN w:val="0"/>
        <w:adjustRightInd w:val="0"/>
        <w:spacing w:line="560" w:lineRule="atLeast"/>
        <w:ind w:firstLine="624"/>
        <w:rPr>
          <w:rFonts w:hint="eastAsia" w:ascii="仿宋" w:hAnsi="仿宋" w:eastAsia="仿宋" w:cs="仿宋"/>
          <w:snapToGrid w:val="0"/>
          <w:color w:val="000000"/>
          <w:sz w:val="28"/>
        </w:rPr>
      </w:pPr>
      <w:r>
        <w:rPr>
          <w:rFonts w:hint="eastAsia" w:ascii="仿宋" w:hAnsi="仿宋" w:eastAsia="仿宋" w:cs="仿宋"/>
          <w:snapToGrid w:val="0"/>
          <w:color w:val="000000"/>
          <w:sz w:val="28"/>
        </w:rPr>
        <w:t>本招标文件专用于江苏常熟农村商业银行股份有限公司本次“</w:t>
      </w:r>
      <w:r>
        <w:rPr>
          <w:rFonts w:hint="eastAsia" w:ascii="仿宋" w:hAnsi="仿宋" w:eastAsia="仿宋" w:cs="仿宋"/>
          <w:snapToGrid w:val="0"/>
          <w:color w:val="000000"/>
          <w:sz w:val="28"/>
          <w:u w:val="single"/>
          <w:lang w:eastAsia="zh-CN"/>
        </w:rPr>
        <w:t>新版反洗钱系统</w:t>
      </w:r>
      <w:r>
        <w:rPr>
          <w:rFonts w:hint="eastAsia" w:ascii="仿宋" w:hAnsi="仿宋" w:eastAsia="仿宋" w:cs="仿宋"/>
          <w:snapToGrid w:val="0"/>
          <w:color w:val="000000"/>
          <w:sz w:val="28"/>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3"/>
        <w:spacing w:after="240"/>
        <w:jc w:val="center"/>
        <w:rPr>
          <w:rFonts w:hint="eastAsia" w:ascii="仿宋" w:hAnsi="仿宋" w:eastAsia="仿宋" w:cs="仿宋"/>
          <w:b/>
          <w:bCs/>
          <w:snapToGrid w:val="0"/>
          <w:color w:val="000000"/>
          <w:sz w:val="30"/>
          <w:szCs w:val="30"/>
        </w:rPr>
      </w:pPr>
      <w:r>
        <w:rPr>
          <w:rFonts w:hint="eastAsia" w:ascii="仿宋" w:hAnsi="仿宋" w:eastAsia="仿宋" w:cs="仿宋"/>
          <w:snapToGrid w:val="0"/>
          <w:color w:val="000000"/>
        </w:rPr>
        <w:br w:type="page"/>
      </w:r>
      <w:r>
        <w:rPr>
          <w:rFonts w:hint="eastAsia" w:ascii="仿宋" w:hAnsi="仿宋" w:eastAsia="仿宋" w:cs="仿宋"/>
          <w:b/>
          <w:snapToGrid w:val="0"/>
          <w:szCs w:val="28"/>
        </w:rPr>
        <w:t>第一部分</w:t>
      </w:r>
      <w:r>
        <w:rPr>
          <w:rFonts w:hint="eastAsia" w:ascii="仿宋" w:hAnsi="仿宋" w:eastAsia="仿宋" w:cs="仿宋"/>
          <w:b/>
          <w:snapToGrid w:val="0"/>
          <w:szCs w:val="28"/>
          <w:lang w:val="en-US" w:eastAsia="zh-CN"/>
        </w:rPr>
        <w:t xml:space="preserve">  </w:t>
      </w:r>
      <w:r>
        <w:rPr>
          <w:rFonts w:hint="eastAsia" w:ascii="仿宋" w:hAnsi="仿宋" w:eastAsia="仿宋" w:cs="仿宋"/>
          <w:b/>
          <w:snapToGrid w:val="0"/>
          <w:szCs w:val="28"/>
        </w:rPr>
        <w:t>投标</w:t>
      </w:r>
      <w:bookmarkStart w:id="0" w:name="投标邀请函"/>
      <w:bookmarkEnd w:id="0"/>
      <w:r>
        <w:rPr>
          <w:rFonts w:hint="eastAsia" w:ascii="仿宋" w:hAnsi="仿宋" w:eastAsia="仿宋" w:cs="仿宋"/>
          <w:b/>
          <w:snapToGrid w:val="0"/>
          <w:szCs w:val="28"/>
        </w:rPr>
        <w:t>函</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lang w:eastAsia="zh-CN"/>
        </w:rPr>
      </w:pPr>
      <w:r>
        <w:rPr>
          <w:rFonts w:hint="eastAsia" w:ascii="仿宋" w:hAnsi="仿宋" w:eastAsia="仿宋" w:cs="仿宋"/>
          <w:snapToGrid w:val="0"/>
          <w:color w:val="000000"/>
          <w:sz w:val="28"/>
          <w:szCs w:val="28"/>
        </w:rPr>
        <w:t>根据</w:t>
      </w:r>
      <w:r>
        <w:rPr>
          <w:rFonts w:hint="eastAsia" w:ascii="仿宋" w:hAnsi="仿宋" w:eastAsia="仿宋" w:cs="仿宋"/>
          <w:snapToGrid w:val="0"/>
          <w:color w:val="000000"/>
          <w:sz w:val="28"/>
        </w:rPr>
        <w:t>江苏常熟农村商业银行股份有限公司</w:t>
      </w:r>
      <w:r>
        <w:rPr>
          <w:rFonts w:hint="eastAsia" w:ascii="仿宋" w:hAnsi="仿宋" w:eastAsia="仿宋" w:cs="仿宋"/>
          <w:snapToGrid w:val="0"/>
          <w:color w:val="000000"/>
          <w:sz w:val="28"/>
          <w:szCs w:val="28"/>
        </w:rPr>
        <w:t>业务发展需求，现就</w:t>
      </w:r>
      <w:r>
        <w:rPr>
          <w:rFonts w:hint="eastAsia" w:ascii="仿宋" w:hAnsi="仿宋" w:eastAsia="仿宋" w:cs="仿宋"/>
          <w:snapToGrid w:val="0"/>
          <w:color w:val="000000"/>
          <w:sz w:val="28"/>
          <w:lang w:eastAsia="zh-CN"/>
        </w:rPr>
        <w:t>我行</w:t>
      </w:r>
      <w:r>
        <w:rPr>
          <w:rFonts w:hint="eastAsia" w:ascii="仿宋" w:hAnsi="仿宋" w:eastAsia="仿宋" w:cs="仿宋"/>
          <w:snapToGrid w:val="0"/>
          <w:color w:val="000000"/>
          <w:sz w:val="28"/>
          <w:highlight w:val="none"/>
        </w:rPr>
        <w:t>“</w:t>
      </w:r>
      <w:r>
        <w:rPr>
          <w:rFonts w:hint="eastAsia" w:ascii="仿宋" w:hAnsi="仿宋" w:eastAsia="仿宋" w:cs="仿宋"/>
          <w:snapToGrid w:val="0"/>
          <w:color w:val="000000"/>
          <w:sz w:val="28"/>
          <w:szCs w:val="28"/>
          <w:highlight w:val="none"/>
          <w:u w:val="single"/>
          <w:lang w:val="en-US" w:eastAsia="zh-CN"/>
        </w:rPr>
        <w:t>新版反洗钱系统</w:t>
      </w:r>
      <w:r>
        <w:rPr>
          <w:rFonts w:hint="eastAsia" w:ascii="仿宋" w:hAnsi="仿宋" w:eastAsia="仿宋" w:cs="仿宋"/>
          <w:snapToGrid w:val="0"/>
          <w:color w:val="000000"/>
          <w:sz w:val="28"/>
          <w:szCs w:val="28"/>
          <w:highlight w:val="none"/>
        </w:rPr>
        <w:t>”</w:t>
      </w:r>
      <w:r>
        <w:rPr>
          <w:rFonts w:hint="eastAsia" w:ascii="仿宋" w:hAnsi="仿宋" w:eastAsia="仿宋" w:cs="仿宋"/>
          <w:snapToGrid w:val="0"/>
          <w:color w:val="000000"/>
          <w:sz w:val="28"/>
          <w:szCs w:val="28"/>
          <w:highlight w:val="none"/>
          <w:lang w:eastAsia="zh-CN"/>
        </w:rPr>
        <w:t>项目</w:t>
      </w:r>
      <w:r>
        <w:rPr>
          <w:rFonts w:hint="eastAsia" w:ascii="仿宋" w:hAnsi="仿宋" w:eastAsia="仿宋" w:cs="仿宋"/>
          <w:snapToGrid w:val="0"/>
          <w:color w:val="000000"/>
          <w:sz w:val="28"/>
          <w:szCs w:val="28"/>
          <w:highlight w:val="none"/>
        </w:rPr>
        <w:t>进行招标</w:t>
      </w:r>
      <w:r>
        <w:rPr>
          <w:rFonts w:hint="eastAsia" w:ascii="仿宋" w:hAnsi="仿宋" w:eastAsia="仿宋" w:cs="仿宋"/>
          <w:snapToGrid w:val="0"/>
          <w:color w:val="000000"/>
          <w:sz w:val="28"/>
          <w:szCs w:val="28"/>
          <w:highlight w:val="none"/>
          <w:lang w:eastAsia="zh-CN"/>
        </w:rPr>
        <w:t>。</w:t>
      </w:r>
    </w:p>
    <w:p>
      <w:pPr>
        <w:keepNext w:val="0"/>
        <w:keepLines w:val="0"/>
        <w:pageBreakBefore w:val="0"/>
        <w:numPr>
          <w:ilvl w:val="0"/>
          <w:numId w:val="0"/>
        </w:numPr>
        <w:tabs>
          <w:tab w:val="left" w:pos="8280"/>
          <w:tab w:val="clear" w:pos="36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b/>
          <w:bCs/>
          <w:snapToGrid w:val="0"/>
          <w:color w:val="000000"/>
          <w:sz w:val="28"/>
          <w:szCs w:val="28"/>
          <w:highlight w:val="none"/>
          <w:lang w:val="en-US" w:eastAsia="zh-CN"/>
        </w:rPr>
      </w:pPr>
      <w:r>
        <w:rPr>
          <w:rFonts w:hint="eastAsia" w:ascii="仿宋" w:hAnsi="仿宋" w:eastAsia="仿宋" w:cs="仿宋"/>
          <w:b/>
          <w:bCs/>
          <w:snapToGrid w:val="0"/>
          <w:color w:val="000000"/>
          <w:sz w:val="28"/>
          <w:szCs w:val="28"/>
          <w:highlight w:val="none"/>
          <w:lang w:val="en-US" w:eastAsia="zh-CN"/>
        </w:rPr>
        <w:t>1.招标编号：20200059</w:t>
      </w:r>
    </w:p>
    <w:p>
      <w:pPr>
        <w:keepNext w:val="0"/>
        <w:keepLines w:val="0"/>
        <w:pageBreakBefore w:val="0"/>
        <w:numPr>
          <w:ilvl w:val="0"/>
          <w:numId w:val="0"/>
        </w:numPr>
        <w:tabs>
          <w:tab w:val="left" w:pos="8280"/>
          <w:tab w:val="clear" w:pos="36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snapToGrid w:val="0"/>
          <w:color w:val="000000"/>
          <w:sz w:val="28"/>
          <w:szCs w:val="28"/>
          <w:highlight w:val="none"/>
          <w:u w:val="single"/>
        </w:rPr>
      </w:pPr>
      <w:r>
        <w:rPr>
          <w:rFonts w:hint="eastAsia" w:ascii="仿宋" w:hAnsi="仿宋" w:eastAsia="仿宋" w:cs="仿宋"/>
          <w:b/>
          <w:bCs/>
          <w:snapToGrid w:val="0"/>
          <w:color w:val="000000"/>
          <w:sz w:val="28"/>
          <w:szCs w:val="28"/>
          <w:highlight w:val="none"/>
          <w:lang w:val="en-US" w:eastAsia="zh-CN"/>
        </w:rPr>
        <w:t>2.</w:t>
      </w:r>
      <w:r>
        <w:rPr>
          <w:rFonts w:hint="eastAsia" w:ascii="仿宋" w:hAnsi="仿宋" w:eastAsia="仿宋" w:cs="仿宋"/>
          <w:b/>
          <w:bCs/>
          <w:snapToGrid w:val="0"/>
          <w:color w:val="000000"/>
          <w:sz w:val="28"/>
          <w:szCs w:val="28"/>
          <w:highlight w:val="none"/>
        </w:rPr>
        <w:t>招标人：</w:t>
      </w:r>
      <w:r>
        <w:rPr>
          <w:rFonts w:hint="eastAsia" w:ascii="仿宋" w:hAnsi="仿宋" w:eastAsia="仿宋" w:cs="仿宋"/>
          <w:snapToGrid w:val="0"/>
          <w:color w:val="000000"/>
          <w:sz w:val="28"/>
          <w:highlight w:val="none"/>
        </w:rPr>
        <w:t>江苏常熟农村商业银行股份有限公司</w:t>
      </w:r>
    </w:p>
    <w:p>
      <w:pPr>
        <w:keepNext w:val="0"/>
        <w:keepLines w:val="0"/>
        <w:pageBreakBefore w:val="0"/>
        <w:numPr>
          <w:ilvl w:val="0"/>
          <w:numId w:val="0"/>
        </w:numPr>
        <w:tabs>
          <w:tab w:val="left" w:pos="1260"/>
          <w:tab w:val="clear" w:pos="3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highlight w:val="none"/>
        </w:rPr>
      </w:pPr>
      <w:r>
        <w:rPr>
          <w:rFonts w:hint="eastAsia" w:ascii="仿宋" w:hAnsi="仿宋" w:eastAsia="仿宋" w:cs="仿宋"/>
          <w:b/>
          <w:bCs/>
          <w:snapToGrid w:val="0"/>
          <w:sz w:val="28"/>
          <w:szCs w:val="28"/>
          <w:highlight w:val="none"/>
          <w:lang w:val="en-US" w:eastAsia="zh-CN"/>
        </w:rPr>
        <w:t>3.</w:t>
      </w:r>
      <w:r>
        <w:rPr>
          <w:rFonts w:hint="eastAsia" w:ascii="仿宋" w:hAnsi="仿宋" w:eastAsia="仿宋" w:cs="仿宋"/>
          <w:b/>
          <w:bCs/>
          <w:snapToGrid w:val="0"/>
          <w:sz w:val="28"/>
          <w:szCs w:val="28"/>
          <w:highlight w:val="none"/>
        </w:rPr>
        <w:t>项目实施地点：</w:t>
      </w:r>
      <w:r>
        <w:rPr>
          <w:rFonts w:hint="eastAsia" w:ascii="仿宋" w:hAnsi="仿宋" w:eastAsia="仿宋" w:cs="仿宋"/>
          <w:snapToGrid w:val="0"/>
          <w:sz w:val="28"/>
          <w:szCs w:val="28"/>
          <w:highlight w:val="none"/>
          <w:lang w:eastAsia="zh-CN"/>
        </w:rPr>
        <w:t>苏州</w:t>
      </w:r>
      <w:r>
        <w:rPr>
          <w:rFonts w:hint="eastAsia" w:ascii="仿宋" w:hAnsi="仿宋" w:eastAsia="仿宋" w:cs="仿宋"/>
          <w:snapToGrid w:val="0"/>
          <w:sz w:val="28"/>
          <w:szCs w:val="28"/>
          <w:highlight w:val="none"/>
          <w:lang w:val="en-US" w:eastAsia="zh-CN"/>
        </w:rPr>
        <w:t>/常熟</w:t>
      </w:r>
    </w:p>
    <w:p>
      <w:pPr>
        <w:keepNext w:val="0"/>
        <w:keepLines w:val="0"/>
        <w:pageBreakBefore w:val="0"/>
        <w:numPr>
          <w:ilvl w:val="0"/>
          <w:numId w:val="0"/>
        </w:numPr>
        <w:tabs>
          <w:tab w:val="left" w:pos="1260"/>
          <w:tab w:val="clear" w:pos="3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highlight w:val="none"/>
        </w:rPr>
      </w:pPr>
      <w:r>
        <w:rPr>
          <w:rFonts w:hint="eastAsia" w:ascii="仿宋" w:hAnsi="仿宋" w:eastAsia="仿宋" w:cs="仿宋"/>
          <w:b/>
          <w:bCs/>
          <w:snapToGrid w:val="0"/>
          <w:sz w:val="28"/>
          <w:szCs w:val="28"/>
          <w:highlight w:val="none"/>
          <w:lang w:val="en-US" w:eastAsia="zh-CN"/>
        </w:rPr>
        <w:t>4.</w:t>
      </w:r>
      <w:r>
        <w:rPr>
          <w:rFonts w:hint="eastAsia" w:ascii="仿宋" w:hAnsi="仿宋" w:eastAsia="仿宋" w:cs="仿宋"/>
          <w:b/>
          <w:bCs/>
          <w:snapToGrid w:val="0"/>
          <w:sz w:val="28"/>
          <w:szCs w:val="28"/>
          <w:highlight w:val="none"/>
        </w:rPr>
        <w:t>发放标书时间：</w:t>
      </w:r>
      <w:r>
        <w:rPr>
          <w:rFonts w:hint="eastAsia" w:ascii="仿宋" w:hAnsi="仿宋" w:eastAsia="仿宋" w:cs="仿宋"/>
          <w:snapToGrid w:val="0"/>
          <w:sz w:val="28"/>
          <w:szCs w:val="28"/>
          <w:highlight w:val="none"/>
        </w:rPr>
        <w:t xml:space="preserve">北京时间  </w:t>
      </w:r>
      <w:r>
        <w:rPr>
          <w:rFonts w:hint="eastAsia" w:ascii="仿宋" w:hAnsi="仿宋" w:eastAsia="仿宋" w:cs="仿宋"/>
          <w:snapToGrid w:val="0"/>
          <w:sz w:val="28"/>
          <w:szCs w:val="28"/>
          <w:highlight w:val="none"/>
          <w:lang w:val="en-US" w:eastAsia="zh-CN"/>
        </w:rPr>
        <w:t>2020</w:t>
      </w:r>
      <w:r>
        <w:rPr>
          <w:rFonts w:hint="eastAsia" w:ascii="仿宋" w:hAnsi="仿宋" w:eastAsia="仿宋" w:cs="仿宋"/>
          <w:snapToGrid w:val="0"/>
          <w:sz w:val="28"/>
          <w:szCs w:val="28"/>
          <w:highlight w:val="none"/>
        </w:rPr>
        <w:t xml:space="preserve">年 </w:t>
      </w:r>
      <w:r>
        <w:rPr>
          <w:rFonts w:hint="eastAsia" w:ascii="仿宋" w:hAnsi="仿宋" w:eastAsia="仿宋" w:cs="仿宋"/>
          <w:snapToGrid w:val="0"/>
          <w:sz w:val="28"/>
          <w:szCs w:val="28"/>
          <w:highlight w:val="none"/>
          <w:lang w:val="en-US" w:eastAsia="zh-CN"/>
        </w:rPr>
        <w:t xml:space="preserve">06 </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lang w:val="en-US" w:eastAsia="zh-CN"/>
        </w:rPr>
        <w:t xml:space="preserve"> 01 </w:t>
      </w:r>
      <w:r>
        <w:rPr>
          <w:rFonts w:hint="eastAsia" w:ascii="仿宋" w:hAnsi="仿宋" w:eastAsia="仿宋" w:cs="仿宋"/>
          <w:snapToGrid w:val="0"/>
          <w:sz w:val="28"/>
          <w:szCs w:val="28"/>
          <w:highlight w:val="none"/>
        </w:rPr>
        <w:t>日</w:t>
      </w:r>
    </w:p>
    <w:p>
      <w:pPr>
        <w:keepNext w:val="0"/>
        <w:keepLines w:val="0"/>
        <w:pageBreakBefore w:val="0"/>
        <w:numPr>
          <w:ilvl w:val="0"/>
          <w:numId w:val="0"/>
        </w:numPr>
        <w:tabs>
          <w:tab w:val="left" w:pos="1260"/>
          <w:tab w:val="clear" w:pos="3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highlight w:val="none"/>
        </w:rPr>
      </w:pPr>
      <w:r>
        <w:rPr>
          <w:rFonts w:hint="eastAsia" w:ascii="仿宋" w:hAnsi="仿宋" w:eastAsia="仿宋" w:cs="仿宋"/>
          <w:b/>
          <w:bCs/>
          <w:snapToGrid w:val="0"/>
          <w:sz w:val="28"/>
          <w:szCs w:val="28"/>
          <w:highlight w:val="none"/>
          <w:lang w:val="en-US" w:eastAsia="zh-CN"/>
        </w:rPr>
        <w:t>5.</w:t>
      </w:r>
      <w:r>
        <w:rPr>
          <w:rFonts w:hint="eastAsia" w:ascii="仿宋" w:hAnsi="仿宋" w:eastAsia="仿宋" w:cs="仿宋"/>
          <w:b/>
          <w:bCs/>
          <w:snapToGrid w:val="0"/>
          <w:sz w:val="28"/>
          <w:szCs w:val="28"/>
          <w:highlight w:val="none"/>
        </w:rPr>
        <w:t>投标截止时间：</w:t>
      </w:r>
      <w:r>
        <w:rPr>
          <w:rFonts w:hint="eastAsia" w:ascii="仿宋" w:hAnsi="仿宋" w:eastAsia="仿宋" w:cs="仿宋"/>
          <w:snapToGrid w:val="0"/>
          <w:sz w:val="28"/>
          <w:szCs w:val="28"/>
          <w:highlight w:val="none"/>
        </w:rPr>
        <w:t xml:space="preserve">北京时间  </w:t>
      </w:r>
      <w:r>
        <w:rPr>
          <w:rFonts w:hint="eastAsia" w:ascii="仿宋" w:hAnsi="仿宋" w:eastAsia="仿宋" w:cs="仿宋"/>
          <w:snapToGrid w:val="0"/>
          <w:sz w:val="28"/>
          <w:szCs w:val="28"/>
          <w:highlight w:val="none"/>
          <w:lang w:val="en-US" w:eastAsia="zh-CN"/>
        </w:rPr>
        <w:t>2020</w:t>
      </w:r>
      <w:r>
        <w:rPr>
          <w:rFonts w:hint="eastAsia" w:ascii="仿宋" w:hAnsi="仿宋" w:eastAsia="仿宋" w:cs="仿宋"/>
          <w:snapToGrid w:val="0"/>
          <w:sz w:val="28"/>
          <w:szCs w:val="28"/>
          <w:highlight w:val="none"/>
        </w:rPr>
        <w:t xml:space="preserve">年 </w:t>
      </w:r>
      <w:r>
        <w:rPr>
          <w:rFonts w:hint="eastAsia" w:ascii="仿宋" w:hAnsi="仿宋" w:eastAsia="仿宋" w:cs="仿宋"/>
          <w:snapToGrid w:val="0"/>
          <w:sz w:val="28"/>
          <w:szCs w:val="28"/>
          <w:highlight w:val="none"/>
          <w:lang w:val="en-US" w:eastAsia="zh-CN"/>
        </w:rPr>
        <w:t xml:space="preserve">06 </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lang w:val="en-US" w:eastAsia="zh-CN"/>
        </w:rPr>
        <w:t xml:space="preserve"> 12 </w:t>
      </w:r>
      <w:r>
        <w:rPr>
          <w:rFonts w:hint="eastAsia" w:ascii="仿宋" w:hAnsi="仿宋" w:eastAsia="仿宋" w:cs="仿宋"/>
          <w:snapToGrid w:val="0"/>
          <w:sz w:val="28"/>
          <w:szCs w:val="28"/>
          <w:highlight w:val="none"/>
        </w:rPr>
        <w:t>日</w:t>
      </w:r>
    </w:p>
    <w:p>
      <w:pPr>
        <w:keepNext w:val="0"/>
        <w:keepLines w:val="0"/>
        <w:pageBreakBefore w:val="0"/>
        <w:numPr>
          <w:ilvl w:val="0"/>
          <w:numId w:val="0"/>
        </w:numPr>
        <w:tabs>
          <w:tab w:val="left" w:pos="1260"/>
          <w:tab w:val="clear" w:pos="3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lang w:val="en-US" w:eastAsia="zh-CN"/>
        </w:rPr>
        <w:t>6.</w:t>
      </w:r>
      <w:r>
        <w:rPr>
          <w:rFonts w:hint="eastAsia" w:ascii="仿宋" w:hAnsi="仿宋" w:eastAsia="仿宋" w:cs="仿宋"/>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 xml:space="preserve">联系人： </w:t>
      </w:r>
      <w:r>
        <w:rPr>
          <w:rFonts w:hint="eastAsia" w:ascii="仿宋" w:hAnsi="仿宋" w:eastAsia="仿宋" w:cs="仿宋"/>
          <w:kern w:val="0"/>
          <w:sz w:val="28"/>
          <w:szCs w:val="28"/>
          <w:highlight w:val="none"/>
          <w:lang w:eastAsia="zh-CN"/>
        </w:rPr>
        <w:t>尹晓</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电话号码：</w:t>
      </w:r>
      <w:r>
        <w:rPr>
          <w:rFonts w:hint="eastAsia" w:ascii="仿宋" w:hAnsi="仿宋" w:eastAsia="仿宋" w:cs="仿宋"/>
          <w:kern w:val="0"/>
          <w:sz w:val="28"/>
          <w:szCs w:val="28"/>
          <w:highlight w:val="none"/>
          <w:lang w:val="en-US" w:eastAsia="zh-CN"/>
        </w:rPr>
        <w:t>15150385137</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标书接收</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电话号码：0512-52739210</w:t>
      </w:r>
    </w:p>
    <w:p>
      <w:pPr>
        <w:numPr>
          <w:ilvl w:val="0"/>
          <w:numId w:val="0"/>
        </w:numPr>
        <w:tabs>
          <w:tab w:val="clear" w:pos="360"/>
        </w:tabs>
        <w:autoSpaceDE w:val="0"/>
        <w:autoSpaceDN w:val="0"/>
        <w:adjustRightInd w:val="0"/>
        <w:jc w:val="left"/>
        <w:rPr>
          <w:rFonts w:hint="eastAsia" w:ascii="仿宋" w:hAnsi="仿宋" w:eastAsia="仿宋" w:cs="仿宋"/>
          <w:i w:val="0"/>
          <w:iCs w:val="0"/>
          <w:snapToGrid w:val="0"/>
          <w:sz w:val="24"/>
          <w:szCs w:val="24"/>
          <w:highlight w:val="none"/>
          <w:lang w:eastAsia="zh-CN"/>
        </w:rPr>
      </w:pPr>
    </w:p>
    <w:p>
      <w:pPr>
        <w:numPr>
          <w:ilvl w:val="0"/>
          <w:numId w:val="0"/>
        </w:numPr>
        <w:tabs>
          <w:tab w:val="clear" w:pos="360"/>
        </w:tabs>
        <w:autoSpaceDE w:val="0"/>
        <w:autoSpaceDN w:val="0"/>
        <w:adjustRightInd w:val="0"/>
        <w:jc w:val="left"/>
        <w:rPr>
          <w:rFonts w:hint="eastAsia" w:ascii="仿宋" w:hAnsi="仿宋" w:eastAsia="仿宋" w:cs="仿宋"/>
          <w:i w:val="0"/>
          <w:iCs w:val="0"/>
          <w:snapToGrid w:val="0"/>
          <w:sz w:val="24"/>
          <w:szCs w:val="24"/>
          <w:highlight w:val="none"/>
          <w:lang w:eastAsia="zh-CN"/>
        </w:rPr>
      </w:pPr>
      <w:r>
        <w:rPr>
          <w:rFonts w:hint="eastAsia" w:ascii="仿宋" w:hAnsi="仿宋" w:eastAsia="仿宋" w:cs="仿宋"/>
          <w:i w:val="0"/>
          <w:iCs w:val="0"/>
          <w:snapToGrid w:val="0"/>
          <w:sz w:val="24"/>
          <w:szCs w:val="24"/>
          <w:highlight w:val="none"/>
          <w:lang w:eastAsia="zh-CN"/>
        </w:rPr>
        <w:t>特别说明：</w:t>
      </w:r>
    </w:p>
    <w:p>
      <w:pPr>
        <w:numPr>
          <w:ilvl w:val="0"/>
          <w:numId w:val="0"/>
        </w:numPr>
        <w:tabs>
          <w:tab w:val="clear" w:pos="360"/>
        </w:tabs>
        <w:autoSpaceDE w:val="0"/>
        <w:autoSpaceDN w:val="0"/>
        <w:adjustRightInd w:val="0"/>
        <w:ind w:firstLine="560"/>
        <w:jc w:val="left"/>
        <w:rPr>
          <w:rFonts w:hint="eastAsia" w:ascii="仿宋" w:hAnsi="仿宋" w:eastAsia="仿宋" w:cs="仿宋"/>
          <w:i w:val="0"/>
          <w:iCs w:val="0"/>
          <w:snapToGrid w:val="0"/>
          <w:color w:val="000000"/>
          <w:sz w:val="24"/>
          <w:szCs w:val="24"/>
          <w:highlight w:val="none"/>
          <w:lang w:val="en-US" w:eastAsia="zh-CN"/>
        </w:rPr>
      </w:pPr>
      <w:r>
        <w:rPr>
          <w:rFonts w:hint="eastAsia" w:ascii="仿宋" w:hAnsi="仿宋" w:eastAsia="仿宋" w:cs="仿宋"/>
          <w:i w:val="0"/>
          <w:iCs w:val="0"/>
          <w:snapToGrid w:val="0"/>
          <w:color w:val="000000"/>
          <w:sz w:val="24"/>
          <w:szCs w:val="24"/>
          <w:highlight w:val="none"/>
          <w:lang w:val="en-US" w:eastAsia="zh-CN"/>
        </w:rPr>
        <w:t>1.投标截止时，若项目(或某标段)的合格投标人数量未符合我行开标要求（三家及以上），则投标截止时间顺延一周。</w:t>
      </w:r>
    </w:p>
    <w:p>
      <w:pPr>
        <w:numPr>
          <w:ilvl w:val="0"/>
          <w:numId w:val="0"/>
        </w:numPr>
        <w:tabs>
          <w:tab w:val="clear" w:pos="360"/>
        </w:tabs>
        <w:autoSpaceDE w:val="0"/>
        <w:autoSpaceDN w:val="0"/>
        <w:adjustRightInd w:val="0"/>
        <w:ind w:firstLine="560"/>
        <w:jc w:val="left"/>
        <w:rPr>
          <w:rFonts w:hint="eastAsia" w:ascii="仿宋" w:hAnsi="仿宋" w:eastAsia="仿宋" w:cs="仿宋"/>
          <w:i/>
          <w:iCs/>
          <w:snapToGrid w:val="0"/>
          <w:sz w:val="24"/>
          <w:szCs w:val="24"/>
          <w:highlight w:val="none"/>
          <w:lang w:eastAsia="zh-CN"/>
        </w:rPr>
      </w:pPr>
      <w:r>
        <w:rPr>
          <w:rFonts w:hint="eastAsia" w:ascii="仿宋" w:hAnsi="仿宋" w:eastAsia="仿宋" w:cs="仿宋"/>
          <w:i w:val="0"/>
          <w:iCs w:val="0"/>
          <w:snapToGrid w:val="0"/>
          <w:color w:val="000000"/>
          <w:sz w:val="24"/>
          <w:szCs w:val="24"/>
          <w:highlight w:val="none"/>
          <w:lang w:val="en-US" w:eastAsia="zh-CN"/>
        </w:rPr>
        <w:t>2.若投标时间延长一周后，项目(或标段)投标人数量仍未满足要求，则根据该</w:t>
      </w:r>
      <w:r>
        <w:rPr>
          <w:rFonts w:hint="eastAsia" w:ascii="仿宋" w:hAnsi="仿宋" w:eastAsia="仿宋" w:cs="仿宋"/>
          <w:i w:val="0"/>
          <w:iCs w:val="0"/>
          <w:snapToGrid w:val="0"/>
          <w:color w:val="000000"/>
          <w:sz w:val="24"/>
          <w:szCs w:val="24"/>
          <w:highlight w:val="none"/>
          <w:lang w:val="en-US" w:eastAsia="zh-CN"/>
        </w:rPr>
        <w:t>项目(或</w:t>
      </w:r>
      <w:bookmarkStart w:id="2" w:name="_GoBack"/>
      <w:bookmarkEnd w:id="2"/>
      <w:r>
        <w:rPr>
          <w:rFonts w:hint="eastAsia" w:ascii="仿宋" w:hAnsi="仿宋" w:eastAsia="仿宋" w:cs="仿宋"/>
          <w:i w:val="0"/>
          <w:iCs w:val="0"/>
          <w:snapToGrid w:val="0"/>
          <w:color w:val="000000"/>
          <w:sz w:val="24"/>
          <w:szCs w:val="24"/>
          <w:highlight w:val="none"/>
          <w:lang w:val="en-US" w:eastAsia="zh-CN"/>
        </w:rPr>
        <w:t>标段)投标人数量将采购方式转为单一来源或竞争性谈判。</w:t>
      </w:r>
    </w:p>
    <w:p>
      <w:pPr>
        <w:pStyle w:val="3"/>
        <w:spacing w:after="240"/>
        <w:jc w:val="right"/>
        <w:rPr>
          <w:rFonts w:hint="eastAsia" w:ascii="仿宋" w:hAnsi="仿宋" w:eastAsia="仿宋" w:cs="仿宋"/>
          <w:snapToGrid w:val="0"/>
          <w:color w:val="000000"/>
          <w:sz w:val="28"/>
        </w:rPr>
      </w:pPr>
    </w:p>
    <w:p>
      <w:pPr>
        <w:pStyle w:val="3"/>
        <w:spacing w:after="240"/>
        <w:jc w:val="right"/>
        <w:rPr>
          <w:rFonts w:hint="eastAsia" w:ascii="仿宋" w:hAnsi="仿宋" w:eastAsia="仿宋" w:cs="仿宋"/>
          <w:snapToGrid w:val="0"/>
          <w:color w:val="000000"/>
          <w:sz w:val="28"/>
        </w:rPr>
      </w:pPr>
      <w:r>
        <w:rPr>
          <w:rFonts w:hint="eastAsia" w:ascii="仿宋" w:hAnsi="仿宋" w:eastAsia="仿宋" w:cs="仿宋"/>
          <w:snapToGrid w:val="0"/>
          <w:color w:val="000000"/>
          <w:sz w:val="28"/>
        </w:rPr>
        <w:t>江苏常熟农村商业银行股份有限公司</w:t>
      </w:r>
    </w:p>
    <w:p>
      <w:pPr>
        <w:pStyle w:val="3"/>
        <w:spacing w:after="240"/>
        <w:jc w:val="center"/>
        <w:rPr>
          <w:rFonts w:hint="eastAsia" w:ascii="仿宋" w:hAnsi="仿宋" w:eastAsia="仿宋" w:cs="仿宋"/>
          <w:b/>
          <w:snapToGrid w:val="0"/>
          <w:szCs w:val="28"/>
        </w:rPr>
      </w:pPr>
      <w:r>
        <w:rPr>
          <w:rFonts w:hint="eastAsia" w:ascii="宋体" w:hAnsi="宋体" w:eastAsia="宋体"/>
          <w:snapToGrid w:val="0"/>
          <w:color w:val="000000"/>
        </w:rPr>
        <w:br w:type="page"/>
      </w:r>
      <w:r>
        <w:rPr>
          <w:rFonts w:hint="eastAsia" w:ascii="仿宋" w:hAnsi="仿宋" w:eastAsia="仿宋" w:cs="仿宋"/>
          <w:b/>
          <w:snapToGrid w:val="0"/>
          <w:szCs w:val="28"/>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适用范围</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rPr>
        <w:t>本招标文件仅适用于江苏常熟农村商业银行股份有限公司（以下简称“常熟农商银行”）</w:t>
      </w:r>
      <w:r>
        <w:rPr>
          <w:rFonts w:hint="eastAsia" w:ascii="仿宋" w:hAnsi="仿宋" w:eastAsia="仿宋" w:cs="仿宋"/>
          <w:snapToGrid w:val="0"/>
          <w:color w:val="000000"/>
          <w:sz w:val="28"/>
          <w:szCs w:val="28"/>
          <w:highlight w:val="none"/>
        </w:rPr>
        <w:t>“</w:t>
      </w:r>
      <w:r>
        <w:rPr>
          <w:rFonts w:hint="eastAsia" w:ascii="仿宋" w:hAnsi="仿宋" w:eastAsia="仿宋" w:cs="仿宋"/>
          <w:snapToGrid w:val="0"/>
          <w:color w:val="000000"/>
          <w:sz w:val="28"/>
          <w:szCs w:val="28"/>
          <w:highlight w:val="none"/>
          <w:u w:val="single"/>
          <w:lang w:eastAsia="zh-CN"/>
        </w:rPr>
        <w:t>新版反洗钱系统</w:t>
      </w:r>
      <w:r>
        <w:rPr>
          <w:rFonts w:hint="eastAsia" w:ascii="仿宋" w:hAnsi="仿宋" w:eastAsia="仿宋" w:cs="仿宋"/>
          <w:snapToGrid w:val="0"/>
          <w:color w:val="000000"/>
          <w:sz w:val="28"/>
          <w:szCs w:val="28"/>
          <w:highlight w:val="none"/>
        </w:rPr>
        <w:t>”而进行的公开招标。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定义</w:t>
      </w:r>
    </w:p>
    <w:p>
      <w:pPr>
        <w:numPr>
          <w:ilvl w:val="0"/>
          <w:numId w:val="4"/>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“招标人”系指组织本次招标的招标机构：常熟农商银行。</w:t>
      </w:r>
    </w:p>
    <w:p>
      <w:pPr>
        <w:numPr>
          <w:ilvl w:val="0"/>
          <w:numId w:val="4"/>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“投标人”系指遵守招标文件要求并向招标人提交投标文件的法人单位。</w:t>
      </w:r>
    </w:p>
    <w:p>
      <w:pPr>
        <w:numPr>
          <w:ilvl w:val="0"/>
          <w:numId w:val="4"/>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“设备（系统）”系指投标人按招标文件规定，须向招标人提供的设备、软件系统、备品备件、工具、手册及其他有关技术资料和材料。</w:t>
      </w:r>
    </w:p>
    <w:p>
      <w:pPr>
        <w:numPr>
          <w:ilvl w:val="0"/>
          <w:numId w:val="4"/>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“服务”系指招标文件规定投标人须承担的技术服务、运输、安装调试、人员培训、售后服务和其他类似的义务。</w:t>
      </w:r>
    </w:p>
    <w:p>
      <w:pPr>
        <w:numPr>
          <w:ilvl w:val="0"/>
          <w:numId w:val="4"/>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“招标文件”系指本文件及其附件，如招标人对招标文件及其附件进行有效的修改或澄清则该修改和澄清构成招标文件不可分割的一部分。</w:t>
      </w:r>
    </w:p>
    <w:p>
      <w:pPr>
        <w:numPr>
          <w:ilvl w:val="0"/>
          <w:numId w:val="4"/>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“无效的投标文件”指属于下列情况之一者，将作为无效处理：</w:t>
      </w:r>
    </w:p>
    <w:p>
      <w:pPr>
        <w:numPr>
          <w:ilvl w:val="0"/>
          <w:numId w:val="5"/>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投标文件未按招标文件的要求密封；</w:t>
      </w:r>
    </w:p>
    <w:p>
      <w:pPr>
        <w:numPr>
          <w:ilvl w:val="0"/>
          <w:numId w:val="5"/>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投标文件未盖公章或未经法定代表人（或授权代理人）签字；</w:t>
      </w:r>
    </w:p>
    <w:p>
      <w:pPr>
        <w:numPr>
          <w:ilvl w:val="0"/>
          <w:numId w:val="5"/>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投标文件未按招标文件规定的格式、内容和要求填写；</w:t>
      </w:r>
    </w:p>
    <w:p>
      <w:pPr>
        <w:numPr>
          <w:ilvl w:val="0"/>
          <w:numId w:val="5"/>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在投标文件截止期后送达或是通过电报、电话、电传、传真投标文件；</w:t>
      </w:r>
    </w:p>
    <w:p>
      <w:pPr>
        <w:numPr>
          <w:ilvl w:val="0"/>
          <w:numId w:val="5"/>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投标文件字迹模糊不清无法辨认的。</w:t>
      </w:r>
    </w:p>
    <w:p>
      <w:pPr>
        <w:numPr>
          <w:ilvl w:val="0"/>
          <w:numId w:val="5"/>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投标人在投标文件中提供虚假信息的。</w:t>
      </w:r>
    </w:p>
    <w:p>
      <w:pPr>
        <w:numPr>
          <w:ilvl w:val="0"/>
          <w:numId w:val="5"/>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对投标人的要求</w:t>
      </w:r>
    </w:p>
    <w:p>
      <w:pPr>
        <w:numPr>
          <w:ilvl w:val="0"/>
          <w:numId w:val="6"/>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rPr>
        <w:t>投标人必须为具有独</w:t>
      </w:r>
      <w:r>
        <w:rPr>
          <w:rFonts w:hint="eastAsia" w:ascii="仿宋" w:hAnsi="仿宋" w:eastAsia="仿宋" w:cs="仿宋"/>
          <w:snapToGrid w:val="0"/>
          <w:color w:val="000000"/>
          <w:sz w:val="28"/>
          <w:szCs w:val="28"/>
          <w:highlight w:val="none"/>
        </w:rPr>
        <w:t>立企业法人资格，具有合法名称、组织机构、固定的办公场所，注册资本要求不少于</w:t>
      </w:r>
      <w:r>
        <w:rPr>
          <w:rFonts w:hint="eastAsia" w:ascii="仿宋" w:hAnsi="仿宋" w:eastAsia="仿宋" w:cs="仿宋"/>
          <w:snapToGrid w:val="0"/>
          <w:color w:val="000000"/>
          <w:sz w:val="28"/>
          <w:szCs w:val="28"/>
          <w:highlight w:val="none"/>
          <w:u w:val="single"/>
          <w:lang w:val="en-US" w:eastAsia="zh-CN"/>
        </w:rPr>
        <w:t xml:space="preserve"> </w:t>
      </w:r>
      <w:r>
        <w:rPr>
          <w:rFonts w:hint="eastAsia" w:ascii="仿宋" w:hAnsi="仿宋" w:eastAsia="仿宋" w:cs="仿宋"/>
          <w:snapToGrid w:val="0"/>
          <w:color w:val="000000"/>
          <w:sz w:val="28"/>
          <w:szCs w:val="28"/>
          <w:highlight w:val="none"/>
          <w:u w:val="single"/>
        </w:rPr>
        <w:t>1000</w:t>
      </w:r>
      <w:r>
        <w:rPr>
          <w:rFonts w:hint="eastAsia" w:ascii="仿宋" w:hAnsi="仿宋" w:eastAsia="仿宋" w:cs="仿宋"/>
          <w:snapToGrid w:val="0"/>
          <w:color w:val="000000"/>
          <w:sz w:val="28"/>
          <w:szCs w:val="28"/>
          <w:highlight w:val="none"/>
          <w:u w:val="single"/>
          <w:lang w:val="en-US" w:eastAsia="zh-CN"/>
        </w:rPr>
        <w:t xml:space="preserve"> </w:t>
      </w:r>
      <w:r>
        <w:rPr>
          <w:rFonts w:hint="eastAsia" w:ascii="仿宋" w:hAnsi="仿宋" w:eastAsia="仿宋" w:cs="仿宋"/>
          <w:snapToGrid w:val="0"/>
          <w:color w:val="000000"/>
          <w:sz w:val="28"/>
          <w:szCs w:val="28"/>
          <w:highlight w:val="none"/>
        </w:rPr>
        <w:t>万元人民币（或等值外币），注册时间不少于</w:t>
      </w:r>
      <w:r>
        <w:rPr>
          <w:rFonts w:hint="eastAsia" w:ascii="仿宋" w:hAnsi="仿宋" w:eastAsia="仿宋" w:cs="仿宋"/>
          <w:snapToGrid w:val="0"/>
          <w:color w:val="000000"/>
          <w:sz w:val="28"/>
          <w:szCs w:val="28"/>
          <w:highlight w:val="none"/>
          <w:u w:val="single"/>
        </w:rPr>
        <w:t xml:space="preserve"> 3 </w:t>
      </w:r>
      <w:r>
        <w:rPr>
          <w:rFonts w:hint="eastAsia" w:ascii="仿宋" w:hAnsi="仿宋" w:eastAsia="仿宋" w:cs="仿宋"/>
          <w:snapToGrid w:val="0"/>
          <w:color w:val="000000"/>
          <w:sz w:val="28"/>
          <w:szCs w:val="28"/>
          <w:highlight w:val="none"/>
        </w:rPr>
        <w:t>年，且具有良好的技术力量、商业信誉和售后服务体系的设备（系统）分销商、厂商。</w:t>
      </w:r>
    </w:p>
    <w:p>
      <w:pPr>
        <w:numPr>
          <w:ilvl w:val="0"/>
          <w:numId w:val="6"/>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投标商需具有原厂授权、认证资格，并具有一定数量的获得认证的工程师。</w:t>
      </w:r>
    </w:p>
    <w:p>
      <w:pPr>
        <w:numPr>
          <w:ilvl w:val="0"/>
          <w:numId w:val="6"/>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投标人必须具有良好的经济和技术实力，能够按时提交招标人要求的交付件，并能够及时地提供招标人要求的优质服务。</w:t>
      </w:r>
    </w:p>
    <w:p>
      <w:pPr>
        <w:numPr>
          <w:ilvl w:val="0"/>
          <w:numId w:val="6"/>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投标人近3年来签署过类似合同、承担过类似项目及成功案例，案例数不少于</w:t>
      </w:r>
      <w:r>
        <w:rPr>
          <w:rFonts w:hint="eastAsia" w:ascii="仿宋" w:hAnsi="仿宋" w:eastAsia="仿宋" w:cs="仿宋"/>
          <w:snapToGrid w:val="0"/>
          <w:color w:val="000000"/>
          <w:sz w:val="28"/>
          <w:szCs w:val="28"/>
          <w:highlight w:val="none"/>
          <w:u w:val="single"/>
          <w:lang w:val="en-US" w:eastAsia="zh-CN"/>
        </w:rPr>
        <w:t xml:space="preserve"> </w:t>
      </w:r>
      <w:r>
        <w:rPr>
          <w:rFonts w:hint="eastAsia" w:ascii="仿宋" w:hAnsi="仿宋" w:eastAsia="仿宋" w:cs="仿宋"/>
          <w:snapToGrid w:val="0"/>
          <w:color w:val="000000"/>
          <w:sz w:val="28"/>
          <w:szCs w:val="28"/>
          <w:highlight w:val="none"/>
          <w:u w:val="single"/>
        </w:rPr>
        <w:t>3</w:t>
      </w:r>
      <w:r>
        <w:rPr>
          <w:rFonts w:hint="eastAsia" w:ascii="仿宋" w:hAnsi="仿宋" w:eastAsia="仿宋" w:cs="仿宋"/>
          <w:snapToGrid w:val="0"/>
          <w:color w:val="000000"/>
          <w:sz w:val="28"/>
          <w:szCs w:val="28"/>
          <w:highlight w:val="none"/>
          <w:u w:val="single"/>
          <w:lang w:val="en-US" w:eastAsia="zh-CN"/>
        </w:rPr>
        <w:t xml:space="preserve"> </w:t>
      </w:r>
      <w:r>
        <w:rPr>
          <w:rFonts w:hint="eastAsia" w:ascii="仿宋" w:hAnsi="仿宋" w:eastAsia="仿宋" w:cs="仿宋"/>
          <w:snapToGrid w:val="0"/>
          <w:color w:val="000000"/>
          <w:sz w:val="28"/>
          <w:szCs w:val="28"/>
          <w:highlight w:val="none"/>
        </w:rPr>
        <w:t>个。投标人应具备相应实施资格。</w:t>
      </w:r>
    </w:p>
    <w:p>
      <w:pPr>
        <w:numPr>
          <w:ilvl w:val="0"/>
          <w:numId w:val="6"/>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highlight w:val="none"/>
        </w:rPr>
        <w:t>投标人必须具有良好的银行资信和商业信誉，没有违法、违约记录，不处于被责令停业，</w:t>
      </w:r>
      <w:r>
        <w:rPr>
          <w:rFonts w:hint="eastAsia" w:ascii="仿宋" w:hAnsi="仿宋" w:eastAsia="仿宋" w:cs="仿宋"/>
          <w:snapToGrid w:val="0"/>
          <w:color w:val="000000"/>
          <w:sz w:val="28"/>
          <w:szCs w:val="28"/>
        </w:rPr>
        <w:t>财产被接管、冻结、破产等非正常经营状态。</w:t>
      </w:r>
    </w:p>
    <w:p>
      <w:pPr>
        <w:numPr>
          <w:ilvl w:val="0"/>
          <w:numId w:val="6"/>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投标人不得联合第三方共同投标，否则取消投标资格；且不允许中标后将本招标进行分包、转包。</w:t>
      </w:r>
    </w:p>
    <w:p>
      <w:pPr>
        <w:numPr>
          <w:ilvl w:val="0"/>
          <w:numId w:val="6"/>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投标费用</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招标文件的解释及咨询</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要求</w:t>
      </w:r>
    </w:p>
    <w:p>
      <w:pPr>
        <w:numPr>
          <w:ilvl w:val="0"/>
          <w:numId w:val="8"/>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b/>
          <w:bCs/>
          <w:snapToGrid w:val="0"/>
          <w:color w:val="000000"/>
          <w:sz w:val="28"/>
          <w:szCs w:val="28"/>
        </w:rPr>
        <w:t>必须按照本招标文件要求制作</w:t>
      </w:r>
      <w:r>
        <w:rPr>
          <w:rFonts w:hint="eastAsia" w:ascii="仿宋" w:hAnsi="仿宋" w:eastAsia="仿宋" w:cs="仿宋"/>
          <w:snapToGrid w:val="0"/>
          <w:color w:val="000000"/>
          <w:sz w:val="28"/>
          <w:szCs w:val="28"/>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1</w:t>
      </w:r>
      <w:r>
        <w:rPr>
          <w:rFonts w:hint="eastAsia" w:ascii="仿宋" w:hAnsi="仿宋" w:eastAsia="仿宋" w:cs="仿宋"/>
          <w:b/>
          <w:bCs/>
          <w:snapToGrid w:val="0"/>
          <w:sz w:val="24"/>
          <w:szCs w:val="24"/>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rPr>
      </w:pPr>
      <w:r>
        <w:rPr>
          <w:rFonts w:hint="eastAsia" w:ascii="仿宋" w:hAnsi="仿宋" w:eastAsia="仿宋" w:cs="仿宋"/>
          <w:snapToGrid w:val="0"/>
          <w:sz w:val="24"/>
          <w:szCs w:val="24"/>
          <w:lang w:eastAsia="zh-CN"/>
        </w:rPr>
        <w:t>说明：</w:t>
      </w:r>
      <w:r>
        <w:rPr>
          <w:rFonts w:hint="eastAsia" w:ascii="仿宋" w:hAnsi="仿宋" w:eastAsia="仿宋" w:cs="仿宋"/>
          <w:snapToGrid w:val="0"/>
          <w:sz w:val="24"/>
          <w:szCs w:val="24"/>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2：</w:t>
      </w:r>
      <w:r>
        <w:rPr>
          <w:rFonts w:hint="eastAsia" w:ascii="仿宋" w:hAnsi="仿宋" w:eastAsia="仿宋" w:cs="仿宋"/>
          <w:b/>
          <w:bCs/>
          <w:snapToGrid w:val="0"/>
          <w:sz w:val="24"/>
          <w:szCs w:val="24"/>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3：</w:t>
      </w:r>
      <w:r>
        <w:rPr>
          <w:rFonts w:hint="eastAsia" w:ascii="仿宋" w:hAnsi="仿宋" w:eastAsia="仿宋" w:cs="仿宋"/>
          <w:b/>
          <w:bCs/>
          <w:snapToGrid w:val="0"/>
          <w:sz w:val="24"/>
          <w:szCs w:val="24"/>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4：</w:t>
      </w:r>
      <w:r>
        <w:rPr>
          <w:rFonts w:hint="eastAsia" w:ascii="仿宋" w:hAnsi="仿宋" w:eastAsia="仿宋" w:cs="仿宋"/>
          <w:b/>
          <w:bCs/>
          <w:snapToGrid w:val="0"/>
          <w:sz w:val="24"/>
          <w:szCs w:val="24"/>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yellow"/>
          <w:lang w:eastAsia="zh-CN"/>
        </w:rPr>
      </w:pPr>
      <w:r>
        <w:rPr>
          <w:rFonts w:hint="eastAsia" w:ascii="仿宋" w:hAnsi="仿宋" w:eastAsia="仿宋" w:cs="仿宋"/>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val="en-US"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tabs>
          <w:tab w:val="clear" w:pos="360"/>
          <w:tab w:val="clear" w:pos="425"/>
        </w:tabs>
        <w:autoSpaceDE w:val="0"/>
        <w:autoSpaceDN w:val="0"/>
        <w:adjustRightInd w:val="0"/>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说明：投标方必须提供实际参与项目实施的成员列表及其</w:t>
      </w:r>
      <w:r>
        <w:rPr>
          <w:rFonts w:hint="eastAsia" w:ascii="仿宋" w:hAnsi="仿宋" w:eastAsia="仿宋" w:cs="仿宋"/>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w:t>
      </w:r>
      <w:r>
        <w:rPr>
          <w:rFonts w:hint="eastAsia" w:ascii="仿宋" w:hAnsi="仿宋" w:eastAsia="仿宋" w:cs="仿宋"/>
          <w:snapToGrid w:val="0"/>
          <w:sz w:val="24"/>
          <w:szCs w:val="24"/>
          <w:lang w:eastAsia="zh-CN"/>
        </w:rPr>
        <w:t>投标人提供营业执照复印件等相关资质证明文件并</w:t>
      </w:r>
      <w:r>
        <w:rPr>
          <w:rFonts w:hint="eastAsia" w:ascii="仿宋" w:hAnsi="仿宋" w:eastAsia="仿宋" w:cs="仿宋"/>
          <w:snapToGrid w:val="0"/>
          <w:sz w:val="24"/>
          <w:szCs w:val="24"/>
          <w:highlight w:val="none"/>
          <w:lang w:val="en-US" w:eastAsia="zh-CN"/>
        </w:rPr>
        <w:t>按表格要求提供至少近三年的实施案例情况，并附证明文件，加盖公章。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投标文件的签署及规定</w:t>
      </w:r>
    </w:p>
    <w:p>
      <w:pPr>
        <w:numPr>
          <w:ilvl w:val="0"/>
          <w:numId w:val="9"/>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投标人应准备一份正本，两份副本，一份电子文档。在每一份投标文件上要明确注明“正本”或“副本”字样，若正本和副本有差异以正本为准。</w:t>
      </w:r>
    </w:p>
    <w:p>
      <w:pPr>
        <w:numPr>
          <w:ilvl w:val="0"/>
          <w:numId w:val="9"/>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投标文件正本和副本须统一用A4纸打印装订并由投标人法定代表人或授权代理人在正本封面上签章处签字并加盖公章、骑缝章。</w:t>
      </w:r>
    </w:p>
    <w:p>
      <w:pPr>
        <w:numPr>
          <w:ilvl w:val="0"/>
          <w:numId w:val="9"/>
        </w:numPr>
        <w:tabs>
          <w:tab w:val="left" w:pos="425"/>
        </w:tabs>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投标文件的密封和递交</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每一密封信封上注明“于开标前不准启封”的字样。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投标文件的修改和撤回</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开标和评标</w:t>
      </w:r>
    </w:p>
    <w:p>
      <w:pPr>
        <w:numPr>
          <w:ilvl w:val="0"/>
          <w:numId w:val="11"/>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w:t>
      </w:r>
    </w:p>
    <w:p>
      <w:pPr>
        <w:numPr>
          <w:ilvl w:val="0"/>
          <w:numId w:val="12"/>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本次招标</w:t>
      </w:r>
      <w:r>
        <w:rPr>
          <w:rFonts w:hint="eastAsia" w:ascii="仿宋" w:hAnsi="仿宋" w:eastAsia="仿宋" w:cs="仿宋"/>
          <w:snapToGrid w:val="0"/>
          <w:color w:val="000000"/>
          <w:sz w:val="28"/>
          <w:szCs w:val="28"/>
          <w:lang w:eastAsia="zh-CN"/>
        </w:rPr>
        <w:t>为</w:t>
      </w:r>
      <w:r>
        <w:rPr>
          <w:rFonts w:hint="eastAsia" w:ascii="仿宋" w:hAnsi="仿宋" w:eastAsia="仿宋" w:cs="仿宋"/>
          <w:snapToGrid w:val="0"/>
          <w:color w:val="000000"/>
          <w:sz w:val="28"/>
          <w:szCs w:val="28"/>
        </w:rPr>
        <w:t>现场开标，开标时间与开标地点由招标人另行通知。</w:t>
      </w:r>
    </w:p>
    <w:p>
      <w:pPr>
        <w:numPr>
          <w:ilvl w:val="0"/>
          <w:numId w:val="12"/>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highlight w:val="none"/>
        </w:rPr>
        <w:t>所有投标人均应派代表人到场参加开标，</w:t>
      </w:r>
      <w:r>
        <w:rPr>
          <w:rFonts w:hint="eastAsia" w:ascii="仿宋" w:hAnsi="仿宋" w:eastAsia="仿宋" w:cs="仿宋"/>
          <w:snapToGrid w:val="0"/>
          <w:color w:val="000000"/>
          <w:sz w:val="28"/>
          <w:szCs w:val="28"/>
        </w:rPr>
        <w:t>投标人代表应出示代表投标人参加开标的授权证明及本人身份证明。</w:t>
      </w:r>
    </w:p>
    <w:p>
      <w:pPr>
        <w:numPr>
          <w:ilvl w:val="0"/>
          <w:numId w:val="12"/>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开标过程由投标人进行时间不超过30分钟的讲标，必须由</w:t>
      </w:r>
      <w:r>
        <w:rPr>
          <w:rFonts w:hint="eastAsia" w:ascii="仿宋" w:hAnsi="仿宋" w:eastAsia="仿宋" w:cs="仿宋"/>
          <w:snapToGrid w:val="0"/>
          <w:color w:val="000000"/>
          <w:sz w:val="28"/>
          <w:szCs w:val="28"/>
          <w:highlight w:val="none"/>
        </w:rPr>
        <w:t>项目经理讲标</w:t>
      </w: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4"/>
          <w:szCs w:val="24"/>
        </w:rPr>
        <w:t>若中标由此项目经理必须担任此次项目的实施项目经理）</w:t>
      </w:r>
      <w:r>
        <w:rPr>
          <w:rFonts w:hint="eastAsia" w:ascii="仿宋" w:hAnsi="仿宋" w:eastAsia="仿宋" w:cs="仿宋"/>
          <w:snapToGrid w:val="0"/>
          <w:color w:val="000000"/>
          <w:sz w:val="28"/>
          <w:szCs w:val="28"/>
        </w:rPr>
        <w:t>。</w:t>
      </w:r>
    </w:p>
    <w:p>
      <w:pPr>
        <w:numPr>
          <w:ilvl w:val="0"/>
          <w:numId w:val="11"/>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招标人根据</w:t>
      </w:r>
      <w:r>
        <w:rPr>
          <w:rFonts w:hint="eastAsia" w:ascii="仿宋" w:hAnsi="仿宋" w:eastAsia="仿宋" w:cs="仿宋"/>
          <w:snapToGrid w:val="0"/>
          <w:color w:val="000000"/>
          <w:sz w:val="28"/>
          <w:szCs w:val="28"/>
          <w:lang w:eastAsia="zh-CN"/>
        </w:rPr>
        <w:t>包括但不限于以下</w:t>
      </w:r>
      <w:r>
        <w:rPr>
          <w:rFonts w:hint="eastAsia" w:ascii="仿宋" w:hAnsi="仿宋" w:eastAsia="仿宋" w:cs="仿宋"/>
          <w:snapToGrid w:val="0"/>
          <w:color w:val="000000"/>
          <w:sz w:val="28"/>
          <w:szCs w:val="28"/>
        </w:rPr>
        <w:t>投标条件进行比较：</w:t>
      </w:r>
    </w:p>
    <w:p>
      <w:pPr>
        <w:numPr>
          <w:ilvl w:val="0"/>
          <w:numId w:val="13"/>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w:t>
      </w:r>
    </w:p>
    <w:p>
      <w:pPr>
        <w:numPr>
          <w:ilvl w:val="0"/>
          <w:numId w:val="13"/>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投标人整体实力及成功案例总数；</w:t>
      </w:r>
    </w:p>
    <w:p>
      <w:pPr>
        <w:numPr>
          <w:ilvl w:val="0"/>
          <w:numId w:val="13"/>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投标人技术方案、成功案例分析及产品特制设计；</w:t>
      </w:r>
    </w:p>
    <w:p>
      <w:pPr>
        <w:numPr>
          <w:ilvl w:val="0"/>
          <w:numId w:val="13"/>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投标人技术实力（项目经理及项目成员、售后服务能力及项目人员配置</w:t>
      </w:r>
      <w:r>
        <w:rPr>
          <w:rFonts w:hint="eastAsia" w:ascii="仿宋" w:hAnsi="仿宋" w:eastAsia="仿宋" w:cs="仿宋"/>
          <w:snapToGrid w:val="0"/>
          <w:color w:val="000000"/>
          <w:sz w:val="28"/>
          <w:szCs w:val="28"/>
          <w:lang w:eastAsia="zh-CN"/>
        </w:rPr>
        <w:t>、</w:t>
      </w:r>
      <w:r>
        <w:rPr>
          <w:rFonts w:hint="eastAsia" w:ascii="仿宋" w:hAnsi="仿宋" w:eastAsia="仿宋" w:cs="仿宋"/>
          <w:snapToGrid w:val="0"/>
          <w:color w:val="000000"/>
          <w:sz w:val="28"/>
          <w:szCs w:val="28"/>
          <w:lang w:val="en-US" w:eastAsia="zh-CN"/>
        </w:rPr>
        <w:t>POC情况等</w:t>
      </w: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8"/>
          <w:szCs w:val="28"/>
          <w:lang w:eastAsia="zh-CN"/>
        </w:rPr>
        <w:t>；</w:t>
      </w:r>
    </w:p>
    <w:p>
      <w:pPr>
        <w:numPr>
          <w:ilvl w:val="0"/>
          <w:numId w:val="13"/>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投标人的资信情况和履约能力；</w:t>
      </w:r>
    </w:p>
    <w:p>
      <w:pPr>
        <w:numPr>
          <w:ilvl w:val="0"/>
          <w:numId w:val="13"/>
        </w:numPr>
        <w:tabs>
          <w:tab w:val="left" w:pos="425"/>
        </w:tabs>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投标人提供的其他优惠条件。</w:t>
      </w:r>
    </w:p>
    <w:p>
      <w:pPr>
        <w:numPr>
          <w:ilvl w:val="0"/>
          <w:numId w:val="11"/>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投标文件的审查</w:t>
      </w:r>
    </w:p>
    <w:p>
      <w:pPr>
        <w:numPr>
          <w:ilvl w:val="0"/>
          <w:numId w:val="14"/>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开标后，招标人将组织审查投标文件是否完整，是否有计算错误，文件签署</w:t>
      </w:r>
      <w:r>
        <w:rPr>
          <w:rFonts w:hint="eastAsia" w:ascii="仿宋" w:hAnsi="仿宋" w:eastAsia="仿宋" w:cs="仿宋"/>
          <w:snapToGrid w:val="0"/>
          <w:color w:val="000000"/>
          <w:sz w:val="28"/>
          <w:szCs w:val="28"/>
          <w:lang w:eastAsia="zh-CN"/>
        </w:rPr>
        <w:t>是否符合要求</w:t>
      </w:r>
      <w:r>
        <w:rPr>
          <w:rFonts w:hint="eastAsia" w:ascii="仿宋" w:hAnsi="仿宋" w:eastAsia="仿宋" w:cs="仿宋"/>
          <w:snapToGrid w:val="0"/>
          <w:color w:val="000000"/>
          <w:sz w:val="28"/>
          <w:szCs w:val="28"/>
        </w:rPr>
        <w:t>。</w:t>
      </w:r>
    </w:p>
    <w:p>
      <w:pPr>
        <w:numPr>
          <w:ilvl w:val="0"/>
          <w:numId w:val="14"/>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4"/>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招标人将确定每一投标是否对招标文件的要求作出了实质性的响应，而没有明显的偏离或保留。</w:t>
      </w:r>
    </w:p>
    <w:p>
      <w:pPr>
        <w:numPr>
          <w:ilvl w:val="0"/>
          <w:numId w:val="14"/>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招标人判断投标文件的响应性仅基于投标文件本身而不靠外部证据。</w:t>
      </w:r>
    </w:p>
    <w:p>
      <w:pPr>
        <w:numPr>
          <w:ilvl w:val="0"/>
          <w:numId w:val="14"/>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招标人将拒绝被确定为非实质性响应的投标，投标人不能通过修正或撤销不符之处而使其投标成为实质性响应的投标。</w:t>
      </w:r>
    </w:p>
    <w:p>
      <w:pPr>
        <w:numPr>
          <w:ilvl w:val="0"/>
          <w:numId w:val="11"/>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w:t>
      </w:r>
    </w:p>
    <w:p>
      <w:pPr>
        <w:numPr>
          <w:ilvl w:val="0"/>
          <w:numId w:val="15"/>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5"/>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澄清应是书面的，并由法定代表人或其授权代理人签字。</w:t>
      </w:r>
    </w:p>
    <w:p>
      <w:pPr>
        <w:numPr>
          <w:ilvl w:val="0"/>
          <w:numId w:val="15"/>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投标人的澄清文件是投标文件的组成部分，并取代投标文件中被澄清的部分。</w:t>
      </w:r>
    </w:p>
    <w:p>
      <w:pPr>
        <w:numPr>
          <w:ilvl w:val="0"/>
          <w:numId w:val="15"/>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投标文件的澄清不得对投标内容进行实质性修改。</w:t>
      </w:r>
    </w:p>
    <w:p>
      <w:pPr>
        <w:numPr>
          <w:ilvl w:val="0"/>
          <w:numId w:val="11"/>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评标工作</w:t>
      </w:r>
    </w:p>
    <w:p>
      <w:pPr>
        <w:numPr>
          <w:ilvl w:val="0"/>
          <w:numId w:val="16"/>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招标人将按照公开、公平、公正的原则对待所有投标人。</w:t>
      </w:r>
    </w:p>
    <w:p>
      <w:pPr>
        <w:numPr>
          <w:ilvl w:val="0"/>
          <w:numId w:val="16"/>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评标是招标工作的重要环节，评标工作在招标人内独立进行。</w:t>
      </w:r>
    </w:p>
    <w:p>
      <w:pPr>
        <w:numPr>
          <w:ilvl w:val="0"/>
          <w:numId w:val="16"/>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招标人不承诺报价最低者为中标者。</w:t>
      </w:r>
    </w:p>
    <w:p>
      <w:pPr>
        <w:numPr>
          <w:ilvl w:val="0"/>
          <w:numId w:val="16"/>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在投标、开标期间，投标人不得向招标人询问情况，不得进行旨在影响评标结果的活动，招标人保留对投标人进行疑问咨询的权力。</w:t>
      </w:r>
    </w:p>
    <w:p>
      <w:pPr>
        <w:numPr>
          <w:ilvl w:val="0"/>
          <w:numId w:val="16"/>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在投标、评标过程中，如有投标人联合故意抬高报价或其他不正当行为，招标人有权中止投标或评标。</w:t>
      </w:r>
    </w:p>
    <w:p>
      <w:pPr>
        <w:numPr>
          <w:ilvl w:val="0"/>
          <w:numId w:val="16"/>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中标与签署合同</w:t>
      </w:r>
    </w:p>
    <w:p>
      <w:pPr>
        <w:numPr>
          <w:ilvl w:val="0"/>
          <w:numId w:val="1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定标原则</w:t>
      </w:r>
    </w:p>
    <w:p>
      <w:pPr>
        <w:keepNext w:val="0"/>
        <w:keepLines w:val="0"/>
        <w:pageBreakBefore w:val="0"/>
        <w:widowControl w:val="0"/>
        <w:numPr>
          <w:ilvl w:val="0"/>
          <w:numId w:val="0"/>
        </w:numPr>
        <w:tabs>
          <w:tab w:val="clear" w:pos="360"/>
          <w:tab w:val="clear" w:pos="425"/>
        </w:tabs>
        <w:kinsoku/>
        <w:wordWrap/>
        <w:overflowPunct/>
        <w:topLinePunct w:val="0"/>
        <w:autoSpaceDE w:val="0"/>
        <w:autoSpaceDN w:val="0"/>
        <w:bidi w:val="0"/>
        <w:adjustRightInd w:val="0"/>
        <w:snapToGrid/>
        <w:spacing w:line="240" w:lineRule="auto"/>
        <w:ind w:left="840" w:leftChars="0" w:right="0" w:rightChars="0" w:firstLine="560"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招标人不承诺向投标人披露招标过程中任何细节，包括中标或落标原因。</w:t>
      </w:r>
    </w:p>
    <w:p>
      <w:pPr>
        <w:numPr>
          <w:ilvl w:val="0"/>
          <w:numId w:val="1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中标通知</w:t>
      </w:r>
    </w:p>
    <w:p>
      <w:pPr>
        <w:numPr>
          <w:ilvl w:val="0"/>
          <w:numId w:val="18"/>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定标后，招标人将发出中标通知。</w:t>
      </w:r>
    </w:p>
    <w:p>
      <w:pPr>
        <w:numPr>
          <w:ilvl w:val="0"/>
          <w:numId w:val="18"/>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对落标的投标人不再另行发出落标通知。</w:t>
      </w:r>
    </w:p>
    <w:p>
      <w:pPr>
        <w:numPr>
          <w:ilvl w:val="0"/>
          <w:numId w:val="18"/>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中标通知将作为招标人与中标人签订合同的依据之一。</w:t>
      </w:r>
    </w:p>
    <w:p>
      <w:pPr>
        <w:numPr>
          <w:ilvl w:val="0"/>
          <w:numId w:val="1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签订合同</w:t>
      </w:r>
    </w:p>
    <w:p>
      <w:pPr>
        <w:numPr>
          <w:ilvl w:val="0"/>
          <w:numId w:val="19"/>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招标人将按照招标文件和投标人的投标文件与中标人签订书面合同，签订合同之前，双方需对合同的具体细节进行商谈。</w:t>
      </w:r>
    </w:p>
    <w:p>
      <w:pPr>
        <w:numPr>
          <w:ilvl w:val="0"/>
          <w:numId w:val="19"/>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招标人对有关内容有权作出必要的细化和补充，但有关细化和补充不得背离招标文件和投标文件的实质性内容。</w:t>
      </w:r>
    </w:p>
    <w:p>
      <w:pPr>
        <w:numPr>
          <w:ilvl w:val="0"/>
          <w:numId w:val="19"/>
        </w:numPr>
        <w:tabs>
          <w:tab w:val="left" w:pos="425"/>
        </w:tabs>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招标文件、中标方的投标文件及其澄清文件等，均为签订合同的依据。</w:t>
      </w: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pStyle w:val="3"/>
        <w:spacing w:after="240"/>
        <w:jc w:val="center"/>
        <w:rPr>
          <w:rFonts w:ascii="宋体" w:hAnsi="宋体"/>
          <w:b/>
          <w:sz w:val="28"/>
          <w:szCs w:val="28"/>
        </w:rPr>
      </w:pPr>
      <w:r>
        <w:rPr>
          <w:rFonts w:hint="eastAsia" w:ascii="宋体" w:hAnsi="宋体" w:eastAsia="宋体"/>
          <w:b/>
          <w:snapToGrid w:val="0"/>
          <w:szCs w:val="28"/>
        </w:rPr>
        <w:t xml:space="preserve">第三部分  </w:t>
      </w:r>
      <w:r>
        <w:rPr>
          <w:rFonts w:ascii="Times New Roman"/>
          <w:b/>
          <w:snapToGrid w:val="0"/>
          <w:szCs w:val="28"/>
        </w:rPr>
        <w:t>投标文件格式</w:t>
      </w:r>
    </w:p>
    <w:p>
      <w:pPr>
        <w:pStyle w:val="4"/>
        <w:spacing w:after="0" w:line="240" w:lineRule="auto"/>
        <w:jc w:val="left"/>
        <w:rPr>
          <w:rFonts w:hint="eastAsia" w:ascii="仿宋" w:hAnsi="仿宋" w:eastAsia="仿宋" w:cs="仿宋"/>
          <w:b w:val="0"/>
          <w:snapToGrid w:val="0"/>
          <w:sz w:val="28"/>
          <w:szCs w:val="28"/>
          <w:shd w:val="pct10" w:color="auto" w:fill="FFFFFF"/>
        </w:rPr>
      </w:pPr>
      <w:bookmarkStart w:id="1" w:name="_附件1：《投标书》"/>
      <w:bookmarkEnd w:id="1"/>
      <w:r>
        <w:rPr>
          <w:rFonts w:hint="eastAsia" w:ascii="仿宋" w:hAnsi="仿宋" w:eastAsia="仿宋" w:cs="仿宋"/>
          <w:b w:val="0"/>
          <w:snapToGrid w:val="0"/>
          <w:color w:val="000000"/>
          <w:sz w:val="28"/>
          <w:szCs w:val="28"/>
        </w:rPr>
        <w:t>附件1：投标书</w:t>
      </w:r>
    </w:p>
    <w:p>
      <w:pPr>
        <w:pStyle w:val="21"/>
        <w:adjustRightInd w:val="0"/>
        <w:jc w:val="center"/>
        <w:rPr>
          <w:rFonts w:hint="eastAsia" w:ascii="仿宋" w:hAnsi="仿宋" w:eastAsia="仿宋" w:cs="仿宋"/>
          <w:b/>
          <w:bCs/>
          <w:snapToGrid w:val="0"/>
          <w:color w:val="000000"/>
          <w:sz w:val="32"/>
          <w:szCs w:val="32"/>
        </w:rPr>
      </w:pPr>
      <w:r>
        <w:rPr>
          <w:rFonts w:hint="eastAsia" w:ascii="仿宋" w:hAnsi="仿宋" w:eastAsia="仿宋" w:cs="仿宋"/>
          <w:b/>
          <w:bCs/>
          <w:snapToGrid w:val="0"/>
          <w:color w:val="000000"/>
          <w:sz w:val="32"/>
          <w:szCs w:val="32"/>
        </w:rPr>
        <w:t>投  标  书</w:t>
      </w:r>
    </w:p>
    <w:p>
      <w:pPr>
        <w:pStyle w:val="21"/>
        <w:adjustRightInd w:val="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致：</w:t>
      </w:r>
      <w:r>
        <w:rPr>
          <w:rFonts w:hint="eastAsia" w:ascii="仿宋" w:hAnsi="仿宋" w:eastAsia="仿宋" w:cs="仿宋"/>
          <w:snapToGrid w:val="0"/>
          <w:color w:val="000000"/>
          <w:sz w:val="28"/>
        </w:rPr>
        <w:t>江苏常熟农村商业银行股份有限公司</w:t>
      </w:r>
    </w:p>
    <w:p>
      <w:p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根据贵方</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val="en-US" w:eastAsia="zh-CN"/>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eastAsia="zh-CN"/>
        </w:rPr>
        <w:t>项目</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color w:val="000000"/>
          <w:sz w:val="28"/>
          <w:szCs w:val="28"/>
        </w:rPr>
        <w:t>招标书，投标人</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rPr>
        <w:t>（投标人名称）提供相关文件并做出以下承诺：</w:t>
      </w:r>
    </w:p>
    <w:p>
      <w:pPr>
        <w:numPr>
          <w:ilvl w:val="0"/>
          <w:numId w:val="20"/>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招标文件规定的全部文件正本一份，副本二份，电子文档一份。</w:t>
      </w:r>
    </w:p>
    <w:p>
      <w:pPr>
        <w:numPr>
          <w:ilvl w:val="0"/>
          <w:numId w:val="20"/>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投标人同意如下：</w:t>
      </w:r>
    </w:p>
    <w:p>
      <w:pPr>
        <w:numPr>
          <w:ilvl w:val="0"/>
          <w:numId w:val="21"/>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投标人完全接受招标文件中的内容，并将按招标文件的规定履行义务，按相关法律法规履行我方的全部责任。</w:t>
      </w:r>
    </w:p>
    <w:p>
      <w:pPr>
        <w:numPr>
          <w:ilvl w:val="0"/>
          <w:numId w:val="21"/>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投标人己详细审查全部招标文件，包括修改文件以及全部参考资料和有关附件，无其他不明事项。</w:t>
      </w:r>
    </w:p>
    <w:p>
      <w:pPr>
        <w:numPr>
          <w:ilvl w:val="0"/>
          <w:numId w:val="21"/>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投标人同意招标人要求的相关数据或资料，完全理解招标人在招标文件中确定的评标原则和程序，理解贵方不一定要接受最低报价的投标。</w:t>
      </w:r>
    </w:p>
    <w:p>
      <w:pPr>
        <w:numPr>
          <w:ilvl w:val="0"/>
          <w:numId w:val="21"/>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highlight w:val="none"/>
        </w:rPr>
        <w:t>投标人承诺项目讲标人为本项目实施的项目经理，投标人应承诺项目实施过程中项目经理不做变更。如发生项目经理变更，招标人有权扣减项目中标金额的</w:t>
      </w:r>
      <w:r>
        <w:rPr>
          <w:rFonts w:hint="eastAsia" w:ascii="仿宋" w:hAnsi="仿宋" w:eastAsia="仿宋" w:cs="仿宋"/>
          <w:snapToGrid w:val="0"/>
          <w:color w:val="000000"/>
          <w:sz w:val="28"/>
          <w:szCs w:val="28"/>
          <w:highlight w:val="none"/>
          <w:u w:val="single"/>
        </w:rPr>
        <w:t>10%</w:t>
      </w:r>
      <w:r>
        <w:rPr>
          <w:rFonts w:hint="eastAsia" w:ascii="仿宋" w:hAnsi="仿宋" w:eastAsia="仿宋" w:cs="仿宋"/>
          <w:snapToGrid w:val="0"/>
          <w:color w:val="000000"/>
          <w:sz w:val="28"/>
          <w:szCs w:val="28"/>
          <w:highlight w:val="none"/>
        </w:rPr>
        <w:t>，</w:t>
      </w:r>
      <w:r>
        <w:rPr>
          <w:rFonts w:hint="eastAsia" w:ascii="仿宋" w:hAnsi="仿宋" w:eastAsia="仿宋" w:cs="仿宋"/>
          <w:sz w:val="28"/>
          <w:szCs w:val="28"/>
          <w:highlight w:val="none"/>
        </w:rPr>
        <w:t>及有权解除中标通知书或项目合同</w:t>
      </w:r>
      <w:r>
        <w:rPr>
          <w:rFonts w:hint="eastAsia" w:ascii="仿宋" w:hAnsi="仿宋" w:eastAsia="仿宋" w:cs="仿宋"/>
          <w:sz w:val="28"/>
          <w:szCs w:val="28"/>
        </w:rPr>
        <w:t>。</w:t>
      </w:r>
    </w:p>
    <w:p>
      <w:pPr>
        <w:numPr>
          <w:ilvl w:val="0"/>
          <w:numId w:val="21"/>
        </w:numPr>
        <w:adjustRightInd w:val="0"/>
        <w:ind w:left="567" w:leftChars="270" w:firstLine="273" w:firstLineChars="0"/>
        <w:rPr>
          <w:rFonts w:hint="eastAsia" w:ascii="仿宋" w:hAnsi="仿宋" w:eastAsia="仿宋" w:cs="仿宋"/>
          <w:snapToGrid w:val="0"/>
          <w:color w:val="000000"/>
          <w:sz w:val="28"/>
          <w:szCs w:val="28"/>
          <w:highlight w:val="red"/>
        </w:rPr>
      </w:pPr>
      <w:r>
        <w:rPr>
          <w:rFonts w:hint="eastAsia" w:ascii="仿宋" w:hAnsi="仿宋" w:eastAsia="仿宋" w:cs="仿宋"/>
          <w:snapToGrid w:val="0"/>
          <w:color w:val="000000"/>
          <w:sz w:val="28"/>
          <w:szCs w:val="28"/>
          <w:highlight w:val="red"/>
        </w:rPr>
        <w:t>投标人承诺按项目投标书中项目组人员配制进场实施项目，如人员匹配率低于</w:t>
      </w:r>
      <w:r>
        <w:rPr>
          <w:rFonts w:hint="eastAsia" w:ascii="仿宋" w:hAnsi="仿宋" w:eastAsia="仿宋" w:cs="仿宋"/>
          <w:snapToGrid w:val="0"/>
          <w:color w:val="000000"/>
          <w:sz w:val="28"/>
          <w:szCs w:val="28"/>
          <w:highlight w:val="red"/>
          <w:u w:val="single"/>
        </w:rPr>
        <w:t>90%</w:t>
      </w:r>
      <w:r>
        <w:rPr>
          <w:rFonts w:hint="eastAsia" w:ascii="仿宋" w:hAnsi="仿宋" w:eastAsia="仿宋" w:cs="仿宋"/>
          <w:snapToGrid w:val="0"/>
          <w:color w:val="000000"/>
          <w:sz w:val="28"/>
          <w:szCs w:val="28"/>
          <w:highlight w:val="red"/>
        </w:rPr>
        <w:t>，招标人有权扣减项目中标金额的</w:t>
      </w:r>
      <w:r>
        <w:rPr>
          <w:rFonts w:hint="eastAsia" w:ascii="仿宋" w:hAnsi="仿宋" w:eastAsia="仿宋" w:cs="仿宋"/>
          <w:snapToGrid w:val="0"/>
          <w:color w:val="000000"/>
          <w:sz w:val="28"/>
          <w:szCs w:val="28"/>
          <w:highlight w:val="red"/>
          <w:u w:val="single"/>
        </w:rPr>
        <w:t>10%</w:t>
      </w:r>
      <w:r>
        <w:rPr>
          <w:rFonts w:hint="eastAsia" w:ascii="仿宋" w:hAnsi="仿宋" w:eastAsia="仿宋" w:cs="仿宋"/>
          <w:snapToGrid w:val="0"/>
          <w:color w:val="000000"/>
          <w:sz w:val="28"/>
          <w:szCs w:val="28"/>
          <w:highlight w:val="red"/>
        </w:rPr>
        <w:t>，</w:t>
      </w:r>
      <w:r>
        <w:rPr>
          <w:rFonts w:hint="eastAsia" w:ascii="仿宋" w:hAnsi="仿宋" w:eastAsia="仿宋" w:cs="仿宋"/>
          <w:sz w:val="28"/>
          <w:szCs w:val="28"/>
          <w:highlight w:val="red"/>
        </w:rPr>
        <w:t>及有权解除中标通知书或项目合同。</w:t>
      </w:r>
      <w:r>
        <w:rPr>
          <w:rFonts w:hint="eastAsia" w:ascii="仿宋" w:hAnsi="仿宋" w:eastAsia="仿宋" w:cs="仿宋"/>
          <w:snapToGrid w:val="0"/>
          <w:color w:val="000000"/>
          <w:sz w:val="28"/>
          <w:szCs w:val="28"/>
          <w:highlight w:val="red"/>
        </w:rPr>
        <w:t>（人员匹配率为：投标书匹配人员数量/投标书项目人员总数）</w:t>
      </w:r>
    </w:p>
    <w:p>
      <w:pPr>
        <w:numPr>
          <w:ilvl w:val="0"/>
          <w:numId w:val="21"/>
        </w:numPr>
        <w:adjustRightInd w:val="0"/>
        <w:ind w:left="567" w:leftChars="270" w:firstLine="273" w:firstLineChars="0"/>
        <w:rPr>
          <w:rFonts w:hint="eastAsia" w:ascii="仿宋" w:hAnsi="仿宋" w:eastAsia="仿宋" w:cs="仿宋"/>
          <w:b w:val="0"/>
          <w:bCs w:val="0"/>
          <w:snapToGrid w:val="0"/>
          <w:color w:val="000000"/>
          <w:sz w:val="28"/>
          <w:szCs w:val="28"/>
          <w:highlight w:val="none"/>
        </w:rPr>
      </w:pPr>
      <w:r>
        <w:rPr>
          <w:rFonts w:hint="eastAsia" w:ascii="仿宋" w:hAnsi="仿宋" w:eastAsia="仿宋" w:cs="仿宋"/>
          <w:b w:val="0"/>
          <w:bCs w:val="0"/>
          <w:snapToGrid w:val="0"/>
          <w:color w:val="000000"/>
          <w:sz w:val="28"/>
          <w:szCs w:val="28"/>
          <w:highlight w:val="none"/>
          <w:lang w:eastAsia="zh-CN"/>
        </w:rPr>
        <w:t>投标人</w:t>
      </w:r>
      <w:r>
        <w:rPr>
          <w:rFonts w:hint="eastAsia" w:ascii="仿宋" w:hAnsi="仿宋" w:eastAsia="仿宋" w:cs="仿宋"/>
          <w:b w:val="0"/>
          <w:bCs w:val="0"/>
          <w:snapToGrid w:val="0"/>
          <w:color w:val="000000"/>
          <w:sz w:val="28"/>
          <w:szCs w:val="28"/>
          <w:highlight w:val="none"/>
        </w:rPr>
        <w:t>承诺</w:t>
      </w:r>
      <w:r>
        <w:rPr>
          <w:rFonts w:hint="eastAsia" w:ascii="仿宋" w:hAnsi="仿宋" w:eastAsia="仿宋" w:cs="仿宋"/>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 w:hAnsi="仿宋" w:eastAsia="仿宋" w:cs="仿宋"/>
          <w:b w:val="0"/>
          <w:bCs w:val="0"/>
          <w:snapToGrid w:val="0"/>
          <w:color w:val="000000"/>
          <w:sz w:val="28"/>
          <w:szCs w:val="28"/>
          <w:highlight w:val="none"/>
          <w:lang w:val="en-US" w:eastAsia="zh-CN"/>
        </w:rPr>
        <w:t>(技术标准规范在项目进场实施时提供，概要内容见附件《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》)并对附件《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》进行盖章确认。</w:t>
      </w:r>
    </w:p>
    <w:p>
      <w:pPr>
        <w:numPr>
          <w:ilvl w:val="0"/>
          <w:numId w:val="20"/>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投标人保证投标文件中所有关于投标资格的文件，证明陈述均是真实的、准确的。若有违背，投标人愿意承担由此而产生的一切后果。</w:t>
      </w: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与本投标有关的一切正式信函使用以下地址：</w:t>
      </w:r>
    </w:p>
    <w:p>
      <w:pPr>
        <w:pStyle w:val="21"/>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地址：</w:t>
      </w:r>
      <w:r>
        <w:rPr>
          <w:rFonts w:hint="eastAsia" w:ascii="仿宋" w:hAnsi="仿宋" w:eastAsia="仿宋" w:cs="仿宋"/>
          <w:snapToGrid w:val="0"/>
          <w:color w:val="000000"/>
          <w:sz w:val="28"/>
          <w:szCs w:val="28"/>
          <w:highlight w:val="none"/>
          <w:u w:val="single"/>
        </w:rPr>
        <w:t xml:space="preserve">                           </w:t>
      </w:r>
    </w:p>
    <w:p>
      <w:pPr>
        <w:pStyle w:val="21"/>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邮编：</w:t>
      </w:r>
      <w:r>
        <w:rPr>
          <w:rFonts w:hint="eastAsia" w:ascii="仿宋" w:hAnsi="仿宋" w:eastAsia="仿宋" w:cs="仿宋"/>
          <w:snapToGrid w:val="0"/>
          <w:color w:val="000000"/>
          <w:sz w:val="28"/>
          <w:szCs w:val="28"/>
          <w:highlight w:val="none"/>
          <w:u w:val="single"/>
        </w:rPr>
        <w:t xml:space="preserve">                           </w:t>
      </w:r>
    </w:p>
    <w:p>
      <w:pPr>
        <w:pStyle w:val="21"/>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电话：</w:t>
      </w:r>
      <w:r>
        <w:rPr>
          <w:rFonts w:hint="eastAsia" w:ascii="仿宋" w:hAnsi="仿宋" w:eastAsia="仿宋" w:cs="仿宋"/>
          <w:snapToGrid w:val="0"/>
          <w:color w:val="000000"/>
          <w:sz w:val="28"/>
          <w:szCs w:val="28"/>
          <w:highlight w:val="none"/>
          <w:u w:val="single"/>
        </w:rPr>
        <w:t xml:space="preserve">                           </w:t>
      </w:r>
    </w:p>
    <w:p>
      <w:pPr>
        <w:pStyle w:val="21"/>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传真：</w:t>
      </w:r>
      <w:r>
        <w:rPr>
          <w:rFonts w:hint="eastAsia" w:ascii="仿宋" w:hAnsi="仿宋" w:eastAsia="仿宋" w:cs="仿宋"/>
          <w:snapToGrid w:val="0"/>
          <w:color w:val="000000"/>
          <w:sz w:val="28"/>
          <w:szCs w:val="28"/>
          <w:highlight w:val="none"/>
          <w:u w:val="single"/>
        </w:rPr>
        <w:t xml:space="preserve">                           </w:t>
      </w:r>
    </w:p>
    <w:p>
      <w:pPr>
        <w:pStyle w:val="21"/>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投标人法定代表人姓名、职务（印刷体）：</w:t>
      </w:r>
      <w:r>
        <w:rPr>
          <w:rFonts w:hint="eastAsia" w:ascii="仿宋" w:hAnsi="仿宋" w:eastAsia="仿宋" w:cs="仿宋"/>
          <w:snapToGrid w:val="0"/>
          <w:sz w:val="28"/>
          <w:szCs w:val="28"/>
          <w:highlight w:val="none"/>
          <w:u w:val="single"/>
        </w:rPr>
        <w:t xml:space="preserve">             </w:t>
      </w:r>
    </w:p>
    <w:p>
      <w:pPr>
        <w:pStyle w:val="21"/>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投标人名称：</w:t>
      </w:r>
      <w:r>
        <w:rPr>
          <w:rFonts w:hint="eastAsia" w:ascii="仿宋" w:hAnsi="仿宋" w:eastAsia="仿宋" w:cs="仿宋"/>
          <w:snapToGrid w:val="0"/>
          <w:sz w:val="28"/>
          <w:szCs w:val="28"/>
          <w:highlight w:val="none"/>
          <w:u w:val="single"/>
        </w:rPr>
        <w:t xml:space="preserve">                       </w:t>
      </w:r>
    </w:p>
    <w:p>
      <w:pPr>
        <w:pStyle w:val="21"/>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单位公章：</w:t>
      </w:r>
      <w:r>
        <w:rPr>
          <w:rFonts w:hint="eastAsia" w:ascii="仿宋" w:hAnsi="仿宋" w:eastAsia="仿宋" w:cs="仿宋"/>
          <w:snapToGrid w:val="0"/>
          <w:sz w:val="28"/>
          <w:szCs w:val="28"/>
          <w:highlight w:val="none"/>
          <w:u w:val="single"/>
        </w:rPr>
        <w:t xml:space="preserve">                       </w:t>
      </w:r>
    </w:p>
    <w:p>
      <w:pPr>
        <w:pStyle w:val="21"/>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法定代表人或授权代理人签字：</w:t>
      </w:r>
      <w:r>
        <w:rPr>
          <w:rFonts w:hint="eastAsia" w:ascii="仿宋" w:hAnsi="仿宋" w:eastAsia="仿宋" w:cs="仿宋"/>
          <w:snapToGrid w:val="0"/>
          <w:sz w:val="28"/>
          <w:szCs w:val="28"/>
          <w:highlight w:val="none"/>
          <w:u w:val="single"/>
        </w:rPr>
        <w:t xml:space="preserve">                    </w:t>
      </w:r>
    </w:p>
    <w:p>
      <w:pPr>
        <w:autoSpaceDE w:val="0"/>
        <w:autoSpaceDN w:val="0"/>
        <w:adjustRightInd w:val="0"/>
        <w:ind w:firstLine="624"/>
        <w:jc w:val="left"/>
        <w:rPr>
          <w:rFonts w:hint="eastAsia" w:ascii="仿宋" w:hAnsi="仿宋" w:eastAsia="仿宋" w:cs="仿宋"/>
          <w:snapToGrid w:val="0"/>
          <w:sz w:val="28"/>
          <w:szCs w:val="28"/>
          <w:highlight w:val="none"/>
        </w:rPr>
      </w:pPr>
      <w:r>
        <w:rPr>
          <w:rFonts w:hint="eastAsia" w:ascii="仿宋" w:hAnsi="仿宋" w:eastAsia="仿宋" w:cs="仿宋"/>
          <w:snapToGrid w:val="0"/>
          <w:color w:val="000000"/>
          <w:sz w:val="28"/>
          <w:szCs w:val="28"/>
          <w:highlight w:val="none"/>
        </w:rPr>
        <w:t>日期：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p>
    <w:p>
      <w:pPr>
        <w:pStyle w:val="4"/>
        <w:spacing w:after="0" w:line="240" w:lineRule="auto"/>
        <w:jc w:val="left"/>
        <w:rPr>
          <w:rFonts w:hint="eastAsia" w:ascii="仿宋" w:hAnsi="仿宋" w:eastAsia="仿宋" w:cs="仿宋"/>
          <w:b w:val="0"/>
          <w:snapToGrid w:val="0"/>
          <w:color w:val="000000"/>
          <w:sz w:val="28"/>
          <w:szCs w:val="28"/>
        </w:rPr>
      </w:pPr>
      <w:r>
        <w:rPr>
          <w:rFonts w:hint="eastAsia" w:ascii="宋体" w:hAnsi="宋体" w:eastAsia="宋体"/>
          <w:b w:val="0"/>
          <w:snapToGrid w:val="0"/>
          <w:color w:val="000000"/>
          <w:sz w:val="28"/>
          <w:szCs w:val="28"/>
        </w:rPr>
        <w:br w:type="page"/>
      </w:r>
      <w:r>
        <w:rPr>
          <w:rFonts w:hint="eastAsia" w:ascii="仿宋" w:hAnsi="仿宋" w:eastAsia="仿宋" w:cs="仿宋"/>
          <w:b w:val="0"/>
          <w:snapToGrid w:val="0"/>
          <w:color w:val="000000"/>
          <w:sz w:val="28"/>
          <w:szCs w:val="28"/>
        </w:rPr>
        <w:t>附件2：法人代表授权委托书</w:t>
      </w:r>
    </w:p>
    <w:p>
      <w:pPr/>
    </w:p>
    <w:p>
      <w:pPr>
        <w:jc w:val="center"/>
        <w:rPr>
          <w:rFonts w:hint="eastAsia" w:ascii="仿宋" w:hAnsi="仿宋" w:eastAsia="仿宋" w:cs="仿宋"/>
          <w:sz w:val="32"/>
          <w:szCs w:val="32"/>
        </w:rPr>
      </w:pPr>
      <w:r>
        <w:rPr>
          <w:rFonts w:hint="eastAsia" w:ascii="仿宋" w:hAnsi="仿宋" w:eastAsia="仿宋" w:cs="仿宋"/>
          <w:b/>
          <w:snapToGrid w:val="0"/>
          <w:color w:val="000000"/>
          <w:sz w:val="32"/>
          <w:szCs w:val="32"/>
        </w:rPr>
        <w:t>法人代表授权委托书</w:t>
      </w: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highlight w:val="none"/>
        </w:rPr>
        <w:t>（投标人公司名称）（投标人公司注册地点）</w:t>
      </w:r>
      <w:r>
        <w:rPr>
          <w:rFonts w:hint="eastAsia" w:ascii="仿宋" w:hAnsi="仿宋" w:eastAsia="仿宋" w:cs="仿宋"/>
          <w:bCs/>
          <w:snapToGrid w:val="0"/>
          <w:sz w:val="28"/>
          <w:szCs w:val="28"/>
        </w:rPr>
        <w:t>法定代表人</w:t>
      </w:r>
      <w:r>
        <w:rPr>
          <w:rFonts w:hint="eastAsia" w:ascii="仿宋" w:hAnsi="仿宋" w:eastAsia="仿宋" w:cs="仿宋"/>
          <w:bCs/>
          <w:snapToGrid w:val="0"/>
          <w:sz w:val="28"/>
          <w:szCs w:val="28"/>
          <w:highlight w:val="none"/>
        </w:rPr>
        <w:t>（姓名）经合法授权，特代表本公司（以下称“投标人”）任命：（姓名）为正式的合法代理人，并授权该代理人在有关的投标工作中，</w:t>
      </w:r>
      <w:r>
        <w:rPr>
          <w:rFonts w:hint="eastAsia" w:ascii="仿宋" w:hAnsi="仿宋" w:eastAsia="仿宋" w:cs="仿宋"/>
          <w:bCs/>
          <w:snapToGrid w:val="0"/>
          <w:sz w:val="28"/>
          <w:szCs w:val="28"/>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特签字如下，以资证明。</w:t>
      </w: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 w:hAnsi="仿宋" w:eastAsia="仿宋" w:cs="仿宋"/>
          <w:b w:val="0"/>
          <w:snapToGrid w:val="0"/>
          <w:color w:val="000000"/>
          <w:sz w:val="28"/>
          <w:szCs w:val="28"/>
        </w:rPr>
      </w:pPr>
      <w:r>
        <w:rPr>
          <w:rFonts w:ascii="宋体" w:hAnsi="宋体" w:cs="宋体"/>
          <w:spacing w:val="2"/>
          <w:kern w:val="0"/>
          <w:position w:val="-1"/>
          <w:sz w:val="28"/>
          <w:szCs w:val="28"/>
          <w:lang w:val="zh-CN"/>
        </w:rPr>
        <w:br w:type="page"/>
      </w:r>
      <w:r>
        <w:rPr>
          <w:rFonts w:hint="eastAsia" w:ascii="仿宋" w:hAnsi="仿宋" w:eastAsia="仿宋" w:cs="仿宋"/>
          <w:b w:val="0"/>
          <w:snapToGrid w:val="0"/>
          <w:color w:val="000000"/>
          <w:sz w:val="28"/>
          <w:szCs w:val="28"/>
        </w:rPr>
        <w:t>附件</w:t>
      </w:r>
      <w:r>
        <w:rPr>
          <w:rFonts w:hint="eastAsia" w:ascii="仿宋" w:hAnsi="仿宋" w:eastAsia="仿宋" w:cs="仿宋"/>
          <w:b w:val="0"/>
          <w:snapToGrid w:val="0"/>
          <w:color w:val="000000"/>
          <w:sz w:val="28"/>
          <w:szCs w:val="28"/>
          <w:lang w:eastAsia="zh-CN"/>
        </w:rPr>
        <w:t>３</w:t>
      </w:r>
      <w:r>
        <w:rPr>
          <w:rFonts w:hint="eastAsia" w:ascii="仿宋" w:hAnsi="仿宋" w:eastAsia="仿宋" w:cs="仿宋"/>
          <w:b w:val="0"/>
          <w:snapToGrid w:val="0"/>
          <w:color w:val="000000"/>
          <w:sz w:val="28"/>
          <w:szCs w:val="28"/>
          <w:lang w:val="en-US" w:eastAsia="zh-CN"/>
        </w:rPr>
        <w:t>：</w:t>
      </w:r>
      <w:r>
        <w:rPr>
          <w:rFonts w:hint="eastAsia" w:ascii="仿宋" w:hAnsi="仿宋" w:eastAsia="仿宋" w:cs="仿宋"/>
          <w:b w:val="0"/>
          <w:bCs/>
          <w:snapToGrid w:val="0"/>
          <w:color w:val="000000"/>
          <w:kern w:val="2"/>
          <w:sz w:val="28"/>
          <w:szCs w:val="28"/>
          <w:lang w:val="en-US" w:eastAsia="zh-CN" w:bidi="ar-SA"/>
        </w:rPr>
        <w:t>投标价格一览表【单独密封】</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投标价格</w:t>
      </w:r>
      <w:r>
        <w:rPr>
          <w:rFonts w:hint="eastAsia" w:ascii="仿宋" w:hAnsi="仿宋" w:eastAsia="仿宋" w:cs="仿宋"/>
          <w:b w:val="0"/>
          <w:bCs/>
          <w:snapToGrid w:val="0"/>
          <w:color w:val="000000"/>
          <w:kern w:val="2"/>
          <w:sz w:val="28"/>
          <w:szCs w:val="28"/>
          <w:lang w:val="en-US" w:eastAsia="zh-CN" w:bidi="ar-SA"/>
        </w:rPr>
        <w:t>一览·表</w:t>
      </w:r>
      <w:r>
        <w:rPr>
          <w:rFonts w:hint="eastAsia" w:ascii="仿宋" w:hAnsi="仿宋" w:eastAsia="仿宋" w:cs="仿宋"/>
          <w:bCs/>
          <w:snapToGrid w:val="0"/>
          <w:sz w:val="28"/>
          <w:szCs w:val="28"/>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项目总报价</w:t>
      </w:r>
      <w:r>
        <w:rPr>
          <w:rFonts w:hint="eastAsia" w:ascii="仿宋" w:hAnsi="仿宋" w:eastAsia="仿宋" w:cs="仿宋"/>
          <w:bCs/>
          <w:snapToGrid w:val="0"/>
          <w:sz w:val="28"/>
          <w:szCs w:val="28"/>
          <w:lang w:eastAsia="zh-CN"/>
        </w:rPr>
        <w:t>（人民币）</w:t>
      </w:r>
      <w:r>
        <w:rPr>
          <w:rFonts w:hint="eastAsia" w:ascii="仿宋" w:hAnsi="仿宋" w:eastAsia="仿宋" w:cs="仿宋"/>
          <w:bCs/>
          <w:snapToGrid w:val="0"/>
          <w:sz w:val="28"/>
          <w:szCs w:val="28"/>
        </w:rPr>
        <w:t>：</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lang w:eastAsia="zh-CN"/>
        </w:rPr>
        <w:t>元</w:t>
      </w:r>
      <w:r>
        <w:rPr>
          <w:rFonts w:hint="eastAsia" w:ascii="仿宋" w:hAnsi="仿宋" w:eastAsia="仿宋" w:cs="仿宋"/>
          <w:bCs/>
          <w:snapToGrid w:val="0"/>
          <w:sz w:val="28"/>
          <w:szCs w:val="28"/>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项目计划进场时间：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预计项目上线时间：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项目计划总工期：</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人月单价:</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报价明细：</w:t>
      </w:r>
    </w:p>
    <w:tbl>
      <w:tblPr>
        <w:tblStyle w:val="38"/>
        <w:tblW w:w="8618" w:type="dxa"/>
        <w:jc w:val="center"/>
        <w:tblInd w:w="-351"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rPr>
            </w:pPr>
            <w:r>
              <w:rPr>
                <w:rFonts w:hint="eastAsia" w:ascii="华文仿宋" w:hAnsi="华文仿宋" w:eastAsia="华文仿宋" w:cs="华文仿宋"/>
                <w:b/>
                <w:bCs/>
                <w:sz w:val="21"/>
                <w:szCs w:val="21"/>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数</w:t>
            </w:r>
            <w:r>
              <w:rPr>
                <w:rFonts w:hint="eastAsia" w:ascii="华文仿宋" w:hAnsi="华文仿宋" w:eastAsia="华文仿宋" w:cs="华文仿宋"/>
                <w:b/>
                <w:bCs/>
                <w:sz w:val="21"/>
                <w:szCs w:val="21"/>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iCs/>
                <w:sz w:val="20"/>
                <w:szCs w:val="20"/>
                <w:highlight w:val="none"/>
                <w:lang w:eastAsia="zh-CN"/>
              </w:rPr>
              <w:t>软件名称</w:t>
            </w:r>
            <w:r>
              <w:rPr>
                <w:rFonts w:hint="eastAsia" w:ascii="华文仿宋" w:hAnsi="华文仿宋" w:eastAsia="华文仿宋" w:cs="华文仿宋"/>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优惠/附加条款（按类型填写）：</w:t>
      </w:r>
    </w:p>
    <w:tbl>
      <w:tblPr>
        <w:tblStyle w:val="39"/>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i/>
                <w:iCs/>
                <w:sz w:val="20"/>
                <w:szCs w:val="20"/>
                <w:highlight w:val="none"/>
                <w:lang w:eastAsia="zh-CN"/>
              </w:rPr>
              <w:t>咨询</w:t>
            </w:r>
            <w:r>
              <w:rPr>
                <w:rFonts w:hint="eastAsia" w:ascii="华文仿宋" w:hAnsi="华文仿宋" w:eastAsia="华文仿宋" w:cs="华文仿宋"/>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系统（含软、硬件等）应提供免费维护期为</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yellow"/>
          <w:u w:val="single"/>
        </w:rPr>
        <w:t>1</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至少1年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eastAsia="zh-CN"/>
        </w:rPr>
        <w:t>维护期内提供（</w:t>
      </w:r>
      <w:r>
        <w:rPr>
          <w:rFonts w:hint="eastAsia" w:ascii="仿宋" w:hAnsi="仿宋" w:eastAsia="仿宋" w:cs="仿宋"/>
          <w:sz w:val="28"/>
          <w:szCs w:val="28"/>
          <w:highlight w:val="none"/>
          <w:lang w:eastAsia="zh-CN"/>
        </w:rPr>
        <w:t>□</w:t>
      </w:r>
      <w:r>
        <w:rPr>
          <w:rFonts w:hint="eastAsia" w:ascii="华文仿宋" w:hAnsi="华文仿宋" w:eastAsia="华文仿宋" w:cs="华文仿宋"/>
          <w:sz w:val="28"/>
          <w:szCs w:val="28"/>
          <w:highlight w:val="none"/>
          <w:lang w:eastAsia="zh-CN"/>
        </w:rPr>
        <w:t>驻场</w:t>
      </w:r>
      <w:r>
        <w:rPr>
          <w:rFonts w:hint="eastAsia" w:ascii="华文仿宋" w:hAnsi="华文仿宋" w:eastAsia="华文仿宋" w:cs="华文仿宋"/>
          <w:sz w:val="28"/>
          <w:szCs w:val="28"/>
          <w:highlight w:val="none"/>
          <w:lang w:val="en-US" w:eastAsia="zh-CN"/>
        </w:rPr>
        <w:t xml:space="preserve"> </w:t>
      </w:r>
      <w:r>
        <w:rPr>
          <w:rFonts w:hint="eastAsia" w:ascii="仿宋" w:hAnsi="仿宋" w:eastAsia="仿宋" w:cs="仿宋"/>
          <w:sz w:val="28"/>
          <w:szCs w:val="28"/>
          <w:highlight w:val="none"/>
          <w:lang w:eastAsia="zh-CN"/>
        </w:rPr>
        <w:t>□</w:t>
      </w:r>
      <w:r>
        <w:rPr>
          <w:rFonts w:hint="eastAsia" w:ascii="华文仿宋" w:hAnsi="华文仿宋" w:eastAsia="华文仿宋" w:cs="华文仿宋"/>
          <w:sz w:val="28"/>
          <w:szCs w:val="28"/>
          <w:highlight w:val="none"/>
          <w:lang w:val="en-US" w:eastAsia="zh-CN"/>
        </w:rPr>
        <w:t xml:space="preserve">远程支持 </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u w:val="single"/>
          <w:lang w:val="en-US" w:eastAsia="zh-CN"/>
        </w:rPr>
        <w:t xml:space="preserve">       </w:t>
      </w:r>
      <w:r>
        <w:rPr>
          <w:rFonts w:hint="eastAsia" w:ascii="华文仿宋" w:hAnsi="华文仿宋" w:eastAsia="华文仿宋" w:cs="华文仿宋"/>
          <w:sz w:val="28"/>
          <w:szCs w:val="28"/>
          <w:highlight w:val="none"/>
          <w:lang w:eastAsia="zh-CN"/>
        </w:rPr>
        <w:t>）支持服务，</w:t>
      </w:r>
      <w:r>
        <w:rPr>
          <w:rFonts w:hint="eastAsia" w:ascii="华文仿宋" w:hAnsi="华文仿宋" w:eastAsia="华文仿宋" w:cs="华文仿宋"/>
          <w:sz w:val="28"/>
          <w:szCs w:val="28"/>
          <w:highlight w:val="none"/>
        </w:rPr>
        <w:t>维护期满后，每年度系统维护服务费用不超过项目总报价的10 %</w:t>
      </w:r>
      <w:r>
        <w:rPr>
          <w:rFonts w:hint="eastAsia" w:ascii="华文仿宋" w:hAnsi="华文仿宋" w:eastAsia="华文仿宋" w:cs="华文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软件类系统，系统上线</w:t>
      </w:r>
      <w:r>
        <w:rPr>
          <w:rFonts w:hint="eastAsia" w:ascii="华文仿宋" w:hAnsi="华文仿宋" w:eastAsia="华文仿宋" w:cs="华文仿宋"/>
          <w:sz w:val="28"/>
          <w:szCs w:val="28"/>
          <w:highlight w:val="yellow"/>
          <w:u w:val="single"/>
        </w:rPr>
        <w:t>2</w:t>
      </w:r>
      <w:r>
        <w:rPr>
          <w:rFonts w:hint="eastAsia" w:ascii="华文仿宋" w:hAnsi="华文仿宋" w:eastAsia="华文仿宋" w:cs="华文仿宋"/>
          <w:sz w:val="28"/>
          <w:szCs w:val="28"/>
          <w:highlight w:val="none"/>
        </w:rPr>
        <w:t>年内，</w:t>
      </w:r>
      <w:r>
        <w:rPr>
          <w:rFonts w:hint="eastAsia" w:ascii="华文仿宋" w:hAnsi="华文仿宋" w:eastAsia="华文仿宋" w:cs="华文仿宋"/>
          <w:sz w:val="28"/>
          <w:szCs w:val="28"/>
          <w:highlight w:val="none"/>
          <w:lang w:eastAsia="zh-CN"/>
        </w:rPr>
        <w:t>由于功能新增</w:t>
      </w:r>
      <w:r>
        <w:rPr>
          <w:rFonts w:hint="eastAsia" w:ascii="华文仿宋" w:hAnsi="华文仿宋" w:eastAsia="华文仿宋" w:cs="华文仿宋"/>
          <w:sz w:val="28"/>
          <w:szCs w:val="28"/>
          <w:highlight w:val="none"/>
        </w:rPr>
        <w:t>经双发协商同意需要计算工作量的，</w:t>
      </w:r>
      <w:r>
        <w:rPr>
          <w:rFonts w:hint="eastAsia" w:ascii="华文仿宋" w:hAnsi="华文仿宋" w:eastAsia="华文仿宋" w:cs="华文仿宋"/>
          <w:sz w:val="28"/>
          <w:szCs w:val="28"/>
          <w:highlight w:val="none"/>
          <w:lang w:eastAsia="zh-CN"/>
        </w:rPr>
        <w:t>工作量</w:t>
      </w:r>
      <w:r>
        <w:rPr>
          <w:rFonts w:hint="eastAsia" w:ascii="华文仿宋" w:hAnsi="华文仿宋" w:eastAsia="华文仿宋" w:cs="华文仿宋"/>
          <w:sz w:val="28"/>
          <w:szCs w:val="28"/>
          <w:highlight w:val="none"/>
        </w:rPr>
        <w:t>报价不超</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元</w:t>
      </w:r>
      <w:r>
        <w:rPr>
          <w:rFonts w:hint="eastAsia" w:ascii="华文仿宋" w:hAnsi="华文仿宋" w:eastAsia="华文仿宋" w:cs="华文仿宋"/>
          <w:sz w:val="28"/>
          <w:szCs w:val="28"/>
          <w:highlight w:val="none"/>
          <w:lang w:val="en-US" w:eastAsia="zh-CN"/>
        </w:rPr>
        <w:t>/人月</w:t>
      </w:r>
      <w:r>
        <w:rPr>
          <w:rFonts w:hint="eastAsia" w:ascii="华文仿宋" w:hAnsi="华文仿宋" w:eastAsia="华文仿宋" w:cs="华文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投标人应在项目计划进场时间安排人员进场，未在期限内完成人员进场，每延迟一日，应向招标人支付相当于项目中标总金额万分之</w:t>
      </w:r>
      <w:r>
        <w:rPr>
          <w:rFonts w:hint="eastAsia" w:ascii="华文仿宋" w:hAnsi="华文仿宋" w:eastAsia="华文仿宋" w:cs="华文仿宋"/>
          <w:sz w:val="28"/>
          <w:szCs w:val="28"/>
          <w:highlight w:val="yellow"/>
          <w:u w:val="single"/>
          <w:lang w:eastAsia="zh-CN"/>
        </w:rPr>
        <w:t>五</w:t>
      </w:r>
      <w:r>
        <w:rPr>
          <w:rFonts w:hint="eastAsia" w:ascii="华文仿宋" w:hAnsi="华文仿宋" w:eastAsia="华文仿宋" w:cs="华文仿宋"/>
          <w:sz w:val="28"/>
          <w:szCs w:val="28"/>
        </w:rPr>
        <w:t>的违约金</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ascii="宋体" w:hAnsi="宋体" w:eastAsia="宋体"/>
          <w:b w:val="0"/>
          <w:snapToGrid w:val="0"/>
          <w:color w:val="000000"/>
          <w:sz w:val="28"/>
          <w:szCs w:val="28"/>
        </w:rPr>
      </w:pPr>
      <w:r>
        <w:rPr>
          <w:rFonts w:ascii="宋体" w:hAnsi="宋体"/>
          <w:sz w:val="28"/>
          <w:szCs w:val="28"/>
        </w:rPr>
        <w:br w:type="page"/>
      </w:r>
      <w:r>
        <w:rPr>
          <w:rFonts w:hint="eastAsia" w:ascii="仿宋" w:hAnsi="仿宋" w:eastAsia="仿宋" w:cs="仿宋"/>
          <w:b w:val="0"/>
          <w:snapToGrid w:val="0"/>
          <w:color w:val="000000"/>
          <w:sz w:val="28"/>
          <w:szCs w:val="28"/>
        </w:rPr>
        <w:t>附件4：投标人情况简介</w:t>
      </w:r>
    </w:p>
    <w:p>
      <w:pPr>
        <w:jc w:val="center"/>
        <w:rPr>
          <w:rFonts w:hint="default"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投标人情况简介</w:t>
      </w:r>
    </w:p>
    <w:p>
      <w:pPr>
        <w:pStyle w:val="21"/>
        <w:numPr>
          <w:ilvl w:val="0"/>
          <w:numId w:val="22"/>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名称和概况：</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投标人名称：</w:t>
      </w:r>
      <w:r>
        <w:rPr>
          <w:rFonts w:hint="eastAsia" w:ascii="华文仿宋" w:hAnsi="华文仿宋" w:eastAsia="华文仿宋" w:cs="华文仿宋"/>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地址：</w:t>
      </w:r>
      <w:r>
        <w:rPr>
          <w:rFonts w:hint="eastAsia" w:ascii="华文仿宋" w:hAnsi="华文仿宋" w:eastAsia="华文仿宋" w:cs="华文仿宋"/>
          <w:snapToGrid w:val="0"/>
          <w:color w:val="000000"/>
          <w:sz w:val="28"/>
          <w:szCs w:val="28"/>
          <w:u w:val="single"/>
        </w:rPr>
        <w:t xml:space="preserve">                   </w:t>
      </w:r>
      <w:r>
        <w:rPr>
          <w:rFonts w:hint="eastAsia" w:ascii="华文仿宋" w:hAnsi="华文仿宋" w:eastAsia="华文仿宋" w:cs="华文仿宋"/>
          <w:snapToGrid w:val="0"/>
          <w:color w:val="000000"/>
          <w:sz w:val="28"/>
          <w:szCs w:val="28"/>
        </w:rPr>
        <w:t>邮编：</w:t>
      </w:r>
      <w:r>
        <w:rPr>
          <w:rFonts w:hint="eastAsia" w:ascii="华文仿宋" w:hAnsi="华文仿宋" w:eastAsia="华文仿宋" w:cs="华文仿宋"/>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传真／电话：</w:t>
      </w:r>
      <w:r>
        <w:rPr>
          <w:rFonts w:hint="eastAsia" w:ascii="华文仿宋" w:hAnsi="华文仿宋" w:eastAsia="华文仿宋" w:cs="华文仿宋"/>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成立日期或注册日期：</w:t>
      </w:r>
      <w:r>
        <w:rPr>
          <w:rFonts w:hint="eastAsia" w:ascii="华文仿宋" w:hAnsi="华文仿宋" w:eastAsia="华文仿宋" w:cs="华文仿宋"/>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法定代表人或主要负责人姓名：</w:t>
      </w:r>
      <w:r>
        <w:rPr>
          <w:rFonts w:hint="eastAsia" w:ascii="华文仿宋" w:hAnsi="华文仿宋" w:eastAsia="华文仿宋" w:cs="华文仿宋"/>
          <w:snapToGrid w:val="0"/>
          <w:color w:val="000000"/>
          <w:sz w:val="28"/>
          <w:szCs w:val="28"/>
          <w:u w:val="single"/>
        </w:rPr>
        <w:t xml:space="preserve">                   </w:t>
      </w:r>
    </w:p>
    <w:p>
      <w:pPr>
        <w:pStyle w:val="21"/>
        <w:numPr>
          <w:ilvl w:val="0"/>
          <w:numId w:val="22"/>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财务数据：</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u w:val="single"/>
        </w:rPr>
      </w:pPr>
      <w:r>
        <w:rPr>
          <w:rFonts w:hint="eastAsia" w:ascii="华文仿宋" w:hAnsi="华文仿宋" w:eastAsia="华文仿宋" w:cs="华文仿宋"/>
          <w:snapToGrid w:val="0"/>
          <w:color w:val="000000"/>
          <w:sz w:val="28"/>
          <w:szCs w:val="28"/>
        </w:rPr>
        <w:t>注册资本：</w:t>
      </w:r>
      <w:r>
        <w:rPr>
          <w:rFonts w:hint="eastAsia" w:ascii="华文仿宋" w:hAnsi="华文仿宋" w:eastAsia="华文仿宋" w:cs="华文仿宋"/>
          <w:snapToGrid w:val="0"/>
          <w:color w:val="000000"/>
          <w:sz w:val="28"/>
          <w:szCs w:val="28"/>
          <w:u w:val="single"/>
        </w:rPr>
        <w:t xml:space="preserve">                      </w:t>
      </w:r>
    </w:p>
    <w:p>
      <w:pPr>
        <w:pStyle w:val="21"/>
        <w:numPr>
          <w:ilvl w:val="0"/>
          <w:numId w:val="22"/>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业绩或服务的情况：</w:t>
      </w:r>
    </w:p>
    <w:p>
      <w:pPr>
        <w:pStyle w:val="21"/>
        <w:keepNext w:val="0"/>
        <w:keepLines w:val="0"/>
        <w:pageBreakBefore w:val="0"/>
        <w:widowControl w:val="0"/>
        <w:numPr>
          <w:ilvl w:val="0"/>
          <w:numId w:val="23"/>
        </w:numPr>
        <w:tabs>
          <w:tab w:val="left" w:pos="425"/>
        </w:tabs>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u w:val="single"/>
          <w:lang w:val="en-US" w:eastAsia="zh-CN"/>
        </w:rPr>
      </w:pPr>
      <w:r>
        <w:rPr>
          <w:rFonts w:hint="eastAsia" w:ascii="华文仿宋" w:hAnsi="华文仿宋" w:eastAsia="华文仿宋" w:cs="华文仿宋"/>
          <w:snapToGrid w:val="0"/>
          <w:color w:val="000000"/>
          <w:sz w:val="24"/>
          <w:szCs w:val="24"/>
          <w:lang w:eastAsia="zh-CN"/>
        </w:rPr>
        <w:t>成立</w:t>
      </w:r>
      <w:r>
        <w:rPr>
          <w:rFonts w:hint="eastAsia" w:ascii="华文仿宋" w:hAnsi="华文仿宋" w:eastAsia="华文仿宋" w:cs="华文仿宋"/>
          <w:snapToGrid w:val="0"/>
          <w:color w:val="000000"/>
          <w:sz w:val="24"/>
          <w:szCs w:val="24"/>
        </w:rPr>
        <w:t>至今国内外主要用户名称：</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华文仿宋" w:hAnsi="华文仿宋" w:eastAsia="华文仿宋" w:cs="华文仿宋"/>
          <w:snapToGrid w:val="0"/>
          <w:color w:val="000000"/>
          <w:sz w:val="24"/>
          <w:szCs w:val="24"/>
          <w:u w:val="single"/>
          <w:lang w:val="en-US" w:eastAsia="zh-CN"/>
        </w:rPr>
      </w:pPr>
    </w:p>
    <w:p>
      <w:pPr>
        <w:pStyle w:val="21"/>
        <w:keepNext w:val="0"/>
        <w:keepLines w:val="0"/>
        <w:pageBreakBefore w:val="0"/>
        <w:widowControl w:val="0"/>
        <w:numPr>
          <w:ilvl w:val="0"/>
          <w:numId w:val="23"/>
        </w:numPr>
        <w:tabs>
          <w:tab w:val="left" w:pos="425"/>
        </w:tabs>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lang w:eastAsia="zh-CN"/>
        </w:rPr>
      </w:pPr>
      <w:r>
        <w:rPr>
          <w:rFonts w:hint="eastAsia" w:ascii="华文仿宋" w:hAnsi="华文仿宋" w:eastAsia="华文仿宋" w:cs="华文仿宋"/>
          <w:snapToGrid w:val="0"/>
          <w:color w:val="000000"/>
          <w:sz w:val="24"/>
          <w:szCs w:val="24"/>
          <w:lang w:eastAsia="zh-CN"/>
        </w:rPr>
        <w:t>其中，本次投标或服务在国内金融行业的应用情况（如有的话）：</w:t>
      </w:r>
    </w:p>
    <w:p>
      <w:pPr>
        <w:pStyle w:val="21"/>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p>
    <w:p>
      <w:pPr>
        <w:pStyle w:val="21"/>
        <w:tabs>
          <w:tab w:val="left" w:pos="360"/>
        </w:tabs>
        <w:adjustRightInd w:val="0"/>
        <w:rPr>
          <w:rFonts w:hint="eastAsia" w:ascii="华文仿宋" w:hAnsi="华文仿宋" w:eastAsia="华文仿宋" w:cs="华文仿宋"/>
          <w:snapToGrid w:val="0"/>
          <w:color w:val="000000"/>
          <w:sz w:val="28"/>
          <w:szCs w:val="28"/>
        </w:rPr>
      </w:pPr>
    </w:p>
    <w:p>
      <w:pPr>
        <w:pStyle w:val="21"/>
        <w:numPr>
          <w:ilvl w:val="0"/>
          <w:numId w:val="22"/>
        </w:numPr>
        <w:adjustRightInd w:val="0"/>
        <w:ind w:left="0" w:leftChars="0" w:firstLine="0" w:firstLineChars="0"/>
        <w:rPr>
          <w:rFonts w:hint="eastAsia" w:ascii="华文仿宋" w:hAnsi="华文仿宋" w:eastAsia="华文仿宋" w:cs="华文仿宋"/>
          <w:snapToGrid w:val="0"/>
          <w:color w:val="000000"/>
          <w:sz w:val="28"/>
          <w:szCs w:val="28"/>
          <w:u w:val="single"/>
          <w:lang w:val="en-US" w:eastAsia="zh-CN"/>
        </w:rPr>
      </w:pPr>
      <w:r>
        <w:rPr>
          <w:rFonts w:hint="eastAsia" w:ascii="华文仿宋" w:hAnsi="华文仿宋" w:eastAsia="华文仿宋" w:cs="华文仿宋"/>
          <w:snapToGrid w:val="0"/>
          <w:color w:val="000000"/>
          <w:sz w:val="28"/>
          <w:szCs w:val="28"/>
        </w:rPr>
        <w:t xml:space="preserve">所属集团（如有的话）： </w:t>
      </w:r>
      <w:r>
        <w:rPr>
          <w:rFonts w:hint="eastAsia" w:ascii="华文仿宋" w:hAnsi="华文仿宋" w:eastAsia="华文仿宋" w:cs="华文仿宋"/>
          <w:snapToGrid w:val="0"/>
          <w:color w:val="000000"/>
          <w:sz w:val="28"/>
          <w:szCs w:val="28"/>
          <w:u w:val="single"/>
        </w:rPr>
        <w:t xml:space="preserve">           </w:t>
      </w:r>
      <w:r>
        <w:rPr>
          <w:rFonts w:hint="eastAsia" w:ascii="华文仿宋" w:hAnsi="华文仿宋" w:eastAsia="华文仿宋" w:cs="华文仿宋"/>
          <w:snapToGrid w:val="0"/>
          <w:color w:val="000000"/>
          <w:sz w:val="28"/>
          <w:szCs w:val="28"/>
          <w:u w:val="single"/>
          <w:lang w:val="en-US" w:eastAsia="zh-CN"/>
        </w:rPr>
        <w:t xml:space="preserve">         </w:t>
      </w:r>
    </w:p>
    <w:p>
      <w:pPr>
        <w:pStyle w:val="21"/>
        <w:numPr>
          <w:ilvl w:val="0"/>
          <w:numId w:val="22"/>
        </w:numPr>
        <w:adjustRightInd w:val="0"/>
        <w:ind w:left="0" w:leftChars="0" w:firstLine="0" w:firstLineChars="0"/>
        <w:rPr>
          <w:rFonts w:hint="eastAsia" w:ascii="华文仿宋" w:hAnsi="华文仿宋" w:eastAsia="华文仿宋" w:cs="华文仿宋"/>
          <w:snapToGrid w:val="0"/>
          <w:color w:val="000000"/>
          <w:kern w:val="2"/>
          <w:sz w:val="28"/>
          <w:szCs w:val="28"/>
          <w:lang w:val="en-US" w:eastAsia="zh-CN" w:bidi="ar-SA"/>
        </w:rPr>
      </w:pPr>
      <w:r>
        <w:rPr>
          <w:rFonts w:hint="eastAsia" w:ascii="华文仿宋" w:hAnsi="华文仿宋" w:eastAsia="华文仿宋" w:cs="华文仿宋"/>
          <w:snapToGrid w:val="0"/>
          <w:color w:val="000000"/>
          <w:sz w:val="28"/>
          <w:szCs w:val="28"/>
          <w:lang w:val="en-US" w:eastAsia="zh-CN"/>
        </w:rPr>
        <w:t xml:space="preserve">其它情况（组织、机构、技术力量、参与本产品的实施人员情况等）  </w:t>
      </w:r>
      <w:r>
        <w:rPr>
          <w:rFonts w:hint="eastAsia" w:ascii="华文仿宋" w:hAnsi="华文仿宋" w:eastAsia="华文仿宋" w:cs="华文仿宋"/>
          <w:snapToGrid w:val="0"/>
          <w:color w:val="000000"/>
          <w:kern w:val="2"/>
          <w:sz w:val="28"/>
          <w:szCs w:val="28"/>
          <w:lang w:val="en-US" w:eastAsia="zh-CN" w:bidi="ar-SA"/>
        </w:rPr>
        <w:t xml:space="preserve"> </w:t>
      </w:r>
    </w:p>
    <w:p>
      <w:pPr>
        <w:pStyle w:val="21"/>
        <w:numPr>
          <w:ilvl w:val="0"/>
          <w:numId w:val="0"/>
        </w:numPr>
        <w:tabs>
          <w:tab w:val="clear" w:pos="360"/>
          <w:tab w:val="clear" w:pos="425"/>
        </w:tabs>
        <w:adjustRightInd w:val="0"/>
        <w:ind w:leftChars="-166"/>
        <w:rPr>
          <w:rFonts w:hint="eastAsia" w:ascii="华文仿宋" w:hAnsi="华文仿宋" w:eastAsia="华文仿宋" w:cs="华文仿宋"/>
          <w:snapToGrid w:val="0"/>
          <w:color w:val="000000"/>
          <w:kern w:val="2"/>
          <w:sz w:val="28"/>
          <w:szCs w:val="28"/>
          <w:lang w:val="en-US" w:eastAsia="zh-CN" w:bidi="ar-SA"/>
        </w:rPr>
      </w:pPr>
    </w:p>
    <w:p>
      <w:pPr>
        <w:pStyle w:val="21"/>
        <w:widowControl w:val="0"/>
        <w:numPr>
          <w:ilvl w:val="0"/>
          <w:numId w:val="0"/>
        </w:numPr>
        <w:tabs>
          <w:tab w:val="clear" w:pos="360"/>
          <w:tab w:val="clear" w:pos="425"/>
        </w:tabs>
        <w:adjustRightInd w:val="0"/>
        <w:jc w:val="both"/>
        <w:rPr>
          <w:rFonts w:hint="eastAsia" w:ascii="华文仿宋" w:hAnsi="华文仿宋" w:eastAsia="华文仿宋" w:cs="华文仿宋"/>
          <w:snapToGrid w:val="0"/>
          <w:color w:val="000000"/>
          <w:kern w:val="2"/>
          <w:sz w:val="28"/>
          <w:szCs w:val="28"/>
          <w:lang w:val="en-US" w:eastAsia="zh-CN" w:bidi="ar-SA"/>
        </w:rPr>
      </w:pPr>
    </w:p>
    <w:p>
      <w:pPr>
        <w:pStyle w:val="21"/>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1"/>
        <w:rPr>
          <w:rFonts w:hint="eastAsia" w:ascii="宋体" w:hAnsi="宋体" w:eastAsia="宋体"/>
          <w:b w:val="0"/>
          <w:sz w:val="28"/>
          <w:szCs w:val="28"/>
        </w:rPr>
      </w:pPr>
      <w:r>
        <w:rPr>
          <w:rFonts w:hint="eastAsia" w:ascii="华文仿宋" w:hAnsi="华文仿宋" w:eastAsia="华文仿宋" w:cs="华文仿宋"/>
          <w:snapToGrid w:val="0"/>
          <w:color w:val="000000"/>
          <w:kern w:val="2"/>
          <w:sz w:val="28"/>
          <w:szCs w:val="28"/>
          <w:lang w:val="en-US" w:eastAsia="zh-CN" w:bidi="ar-SA"/>
        </w:rPr>
        <w:br w:type="page"/>
      </w:r>
      <w:r>
        <w:rPr>
          <w:rFonts w:hint="eastAsia" w:ascii="仿宋" w:hAnsi="仿宋" w:eastAsia="仿宋" w:cs="仿宋"/>
          <w:b w:val="0"/>
          <w:snapToGrid w:val="0"/>
          <w:color w:val="000000"/>
          <w:kern w:val="2"/>
          <w:sz w:val="28"/>
          <w:szCs w:val="28"/>
          <w:lang w:val="en-US" w:eastAsia="zh-CN" w:bidi="ar-SA"/>
        </w:rPr>
        <w:t>附件5：外包服务供应商风险信息表</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外包服务供应商风险信息表</w:t>
      </w:r>
    </w:p>
    <w:tbl>
      <w:tblPr>
        <w:tblStyle w:val="38"/>
        <w:tblW w:w="833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trPr>
        <w:tc>
          <w:tcPr>
            <w:tcW w:w="2451" w:type="dxa"/>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服务供应商名称</w:t>
            </w:r>
          </w:p>
        </w:tc>
        <w:tc>
          <w:tcPr>
            <w:tcW w:w="5880" w:type="dxa"/>
            <w:vAlign w:val="center"/>
          </w:tcPr>
          <w:p>
            <w:pPr>
              <w:spacing w:line="320" w:lineRule="exact"/>
              <w:jc w:val="lef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8331" w:type="dxa"/>
            <w:gridSpan w:val="2"/>
            <w:vAlign w:val="center"/>
          </w:tcPr>
          <w:p>
            <w:pPr>
              <w:spacing w:line="320" w:lineRule="exact"/>
              <w:jc w:val="left"/>
              <w:rPr>
                <w:rFonts w:hint="eastAsia" w:ascii="仿宋" w:hAnsi="仿宋" w:eastAsia="仿宋" w:cs="仿宋"/>
                <w:sz w:val="24"/>
                <w:szCs w:val="24"/>
              </w:rPr>
            </w:pPr>
            <w:r>
              <w:rPr>
                <w:rFonts w:hint="eastAsia" w:ascii="仿宋" w:hAnsi="仿宋" w:eastAsia="仿宋" w:cs="仿宋"/>
                <w:b/>
                <w:bCs/>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trPr>
        <w:tc>
          <w:tcPr>
            <w:tcW w:w="2451" w:type="dxa"/>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1.服务供应商成立时间及其发展历程</w:t>
            </w:r>
          </w:p>
        </w:tc>
        <w:tc>
          <w:tcPr>
            <w:tcW w:w="5880" w:type="dxa"/>
            <w:vAlign w:val="top"/>
          </w:tcPr>
          <w:p>
            <w:pPr>
              <w:spacing w:line="320" w:lineRule="exact"/>
              <w:jc w:val="lef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2.服务供应商的主要股东</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3.服务供应商的主要经营范围</w:t>
            </w:r>
          </w:p>
        </w:tc>
        <w:tc>
          <w:tcPr>
            <w:tcW w:w="5880" w:type="dxa"/>
            <w:shd w:val="clear" w:color="auto" w:fill="FFFFFF"/>
            <w:vAlign w:val="top"/>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4.服务供应商的企业性质（内资企业/港澳台商投资企业/外商投资企业/境外企业）</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5.服务供应商近三年资产规模、主要收入、盈利状况</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6.服务供应商目前员工人数、人员学历结构</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7.列举</w:t>
            </w:r>
            <w:r>
              <w:rPr>
                <w:rFonts w:hint="eastAsia" w:ascii="仿宋" w:hAnsi="仿宋" w:eastAsia="仿宋" w:cs="仿宋"/>
                <w:sz w:val="24"/>
                <w:szCs w:val="24"/>
              </w:rPr>
              <w:t>同业提供类似性质和规模的服务经验</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8.列举</w:t>
            </w:r>
            <w:r>
              <w:rPr>
                <w:rFonts w:hint="eastAsia" w:ascii="仿宋" w:hAnsi="仿宋" w:eastAsia="仿宋" w:cs="仿宋"/>
                <w:sz w:val="24"/>
                <w:szCs w:val="24"/>
              </w:rPr>
              <w:t>在最近三年的经营活动中违法违纪等不良记录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如有</w:t>
            </w:r>
            <w:r>
              <w:rPr>
                <w:rFonts w:hint="eastAsia" w:ascii="仿宋" w:hAnsi="仿宋" w:eastAsia="仿宋" w:cs="仿宋"/>
                <w:sz w:val="24"/>
                <w:szCs w:val="24"/>
                <w:lang w:eastAsia="zh-CN"/>
              </w:rPr>
              <w:t>）</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9.提供</w:t>
            </w:r>
            <w:r>
              <w:rPr>
                <w:rFonts w:hint="eastAsia" w:ascii="仿宋" w:hAnsi="仿宋" w:eastAsia="仿宋" w:cs="仿宋"/>
                <w:sz w:val="24"/>
                <w:szCs w:val="24"/>
              </w:rPr>
              <w:t>服务供应商业务连续性安排和应急预案</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restart"/>
            <w:vAlign w:val="top"/>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服务供应商</w:t>
            </w:r>
            <w:r>
              <w:rPr>
                <w:rFonts w:hint="eastAsia" w:ascii="仿宋" w:hAnsi="仿宋" w:eastAsia="仿宋" w:cs="仿宋"/>
                <w:sz w:val="24"/>
                <w:szCs w:val="24"/>
                <w:lang w:eastAsia="zh-CN"/>
              </w:rPr>
              <w:t>（盖章）：</w:t>
            </w:r>
            <w:r>
              <w:rPr>
                <w:rFonts w:hint="eastAsia" w:ascii="仿宋" w:hAnsi="仿宋" w:eastAsia="仿宋" w:cs="仿宋"/>
                <w:sz w:val="24"/>
                <w:szCs w:val="24"/>
              </w:rPr>
              <w:t xml:space="preserve">                                </w:t>
            </w: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940" w:hRule="atLeast"/>
        </w:trPr>
        <w:tc>
          <w:tcPr>
            <w:tcW w:w="8331" w:type="dxa"/>
            <w:gridSpan w:val="2"/>
            <w:vMerge w:val="continue"/>
            <w:vAlign w:val="center"/>
          </w:tcPr>
          <w:p>
            <w:pPr>
              <w:spacing w:line="320" w:lineRule="exact"/>
              <w:rPr>
                <w:rFonts w:hint="eastAsia" w:ascii="宋体" w:hAnsi="宋体" w:eastAsia="宋体" w:cs="宋体"/>
                <w:sz w:val="24"/>
                <w:szCs w:val="24"/>
              </w:rPr>
            </w:pPr>
          </w:p>
        </w:tc>
      </w:tr>
    </w:tbl>
    <w:p>
      <w:pPr>
        <w:rPr>
          <w:rFonts w:ascii="宋体" w:hAnsi="宋体"/>
          <w:sz w:val="28"/>
          <w:szCs w:val="28"/>
        </w:rPr>
      </w:pPr>
    </w:p>
    <w:p>
      <w:pPr>
        <w:pStyle w:val="4"/>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 w:hAnsi="仿宋" w:eastAsia="仿宋" w:cs="仿宋"/>
          <w:snapToGrid w:val="0"/>
          <w:color w:val="000000"/>
          <w:sz w:val="24"/>
          <w:szCs w:val="24"/>
        </w:rPr>
      </w:pPr>
      <w:r>
        <w:rPr>
          <w:rFonts w:hint="eastAsia" w:ascii="华文仿宋" w:hAnsi="华文仿宋" w:eastAsia="华文仿宋" w:cs="华文仿宋"/>
          <w:sz w:val="24"/>
          <w:szCs w:val="24"/>
          <w:lang w:val="en-US" w:eastAsia="zh-CN"/>
        </w:rPr>
        <w:t>项目启动：</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2020</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06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22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ascii="宋体" w:hAnsi="宋体"/>
          <w:sz w:val="24"/>
          <w:szCs w:val="24"/>
        </w:rPr>
      </w:pPr>
      <w:r>
        <w:rPr>
          <w:rFonts w:hint="eastAsia" w:ascii="华文仿宋" w:hAnsi="华文仿宋" w:eastAsia="华文仿宋" w:cs="华文仿宋"/>
          <w:sz w:val="24"/>
          <w:szCs w:val="24"/>
          <w:lang w:val="en-US" w:eastAsia="zh-CN"/>
        </w:rPr>
        <w:t>项目上线：</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2020</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26</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numPr>
          <w:ilvl w:val="0"/>
          <w:numId w:val="24"/>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项目需求</w:t>
      </w:r>
    </w:p>
    <w:p>
      <w:pPr>
        <w:pStyle w:val="123"/>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基于行内大数据平台建立反洗钱数据集市，通过新版反洗钱系统实现以下功能。一、满足反洗钱监管要求的基础功能建设：大额和可疑案例补录和报送、客户风险等级划分、黑白灰名单管理及黑名单回溯、300号文的逻辑检验和数据导出、洗钱风险自评估工作留档、反洗钱相关工作记录的保存留档查询等基础功能。二、服务本行反洗钱工作开展的功能建设：报表功能、洗钱风险事件模型自主优化（模型试验室）、客户视图、客户身份识别等功能。</w:t>
      </w:r>
    </w:p>
    <w:p>
      <w:pPr>
        <w:numPr>
          <w:ilvl w:val="0"/>
          <w:numId w:val="25"/>
        </w:numPr>
        <w:ind w:left="425" w:leftChars="0" w:hanging="425" w:firstLineChars="0"/>
        <w:rPr>
          <w:rFonts w:hint="eastAsia" w:ascii="仿宋_GB2312" w:eastAsia="仿宋_GB2312"/>
          <w:sz w:val="28"/>
          <w:szCs w:val="28"/>
          <w:lang w:val="en-US" w:eastAsia="zh-CN"/>
        </w:rPr>
      </w:pPr>
      <w:r>
        <w:rPr>
          <w:rFonts w:hint="eastAsia" w:ascii="仿宋" w:hAnsi="仿宋" w:eastAsia="仿宋" w:cs="仿宋"/>
          <w:b/>
          <w:bCs/>
          <w:snapToGrid w:val="0"/>
          <w:color w:val="000000"/>
          <w:sz w:val="28"/>
          <w:szCs w:val="28"/>
          <w:lang w:val="en-US" w:eastAsia="zh-CN"/>
        </w:rPr>
        <w:t>业务需求</w:t>
      </w:r>
    </w:p>
    <w:p>
      <w:pPr>
        <w:rPr>
          <w:rFonts w:hint="eastAsia" w:ascii="仿宋" w:hAnsi="仿宋" w:eastAsia="仿宋"/>
          <w:sz w:val="28"/>
          <w:szCs w:val="28"/>
        </w:rPr>
      </w:pPr>
      <w:r>
        <w:rPr>
          <w:rFonts w:hint="eastAsia" w:ascii="仿宋" w:hAnsi="仿宋" w:eastAsia="仿宋"/>
          <w:sz w:val="28"/>
          <w:szCs w:val="28"/>
        </w:rPr>
        <w:t>一、大额可疑交易监测及报告</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根据人民银行的大额交易、可疑交易、恐怖融资报告的数据标准和反洗钱支付交易监测规定，每天根据我行各项业务系统（核心系统、国结系统、信贷系统、手机银行、信用卡系统、网银系统等系统）的交易数据和客户账户数据进行洗钱行为监测预警，实现大额交易、可疑交易、恐怖融资交易的筛选。对各项业务系统已有的数据实行自动采集，不需要进行人工补录。</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具有通过实践检验的可疑支付交易监测量化模型，能够利用科学的方法进行可疑量化，从而提高可疑交易识别率、减少漏报和防御性报送、提高反洗钱工作效率。</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根据人民银行的大额交易、可疑交易、恐怖融资交易报告的数据标准，提示相关人员对不符合规范的数据进行补录，提示正确的补录数据格式，且能准确定位需要补录的位置。对初次补录的客户信息能登记至系统，不再重复补录。</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大额交易实行系统自动上报、营业网点补录上报相结合；可疑交易实行营业网点人工识别、总行运营管理部审核、向省联社上报。大额和</w:t>
      </w:r>
      <w:r>
        <w:rPr>
          <w:rFonts w:hint="eastAsia" w:ascii="仿宋" w:hAnsi="仿宋" w:eastAsia="仿宋"/>
          <w:sz w:val="28"/>
          <w:szCs w:val="28"/>
          <w:lang w:eastAsia="zh-CN"/>
        </w:rPr>
        <w:t>可疑</w:t>
      </w:r>
      <w:r>
        <w:rPr>
          <w:rFonts w:hint="eastAsia" w:ascii="仿宋" w:hAnsi="仿宋" w:eastAsia="仿宋"/>
          <w:sz w:val="28"/>
          <w:szCs w:val="28"/>
        </w:rPr>
        <w:t>报文格式应根据人行要求，每个数据包的案例数不少于5000笔，系统应</w:t>
      </w:r>
      <w:r>
        <w:rPr>
          <w:rFonts w:hint="eastAsia" w:ascii="仿宋" w:hAnsi="仿宋" w:eastAsia="仿宋"/>
          <w:sz w:val="28"/>
          <w:szCs w:val="28"/>
          <w:lang w:eastAsia="zh-CN"/>
        </w:rPr>
        <w:t>在跑批自动生成数据包的同时，</w:t>
      </w:r>
      <w:r>
        <w:rPr>
          <w:rFonts w:hint="eastAsia" w:ascii="仿宋" w:hAnsi="仿宋" w:eastAsia="仿宋"/>
          <w:sz w:val="28"/>
          <w:szCs w:val="28"/>
        </w:rPr>
        <w:t>支持当日处理案例</w:t>
      </w:r>
      <w:r>
        <w:rPr>
          <w:rFonts w:hint="eastAsia" w:ascii="仿宋" w:hAnsi="仿宋" w:eastAsia="仿宋"/>
          <w:sz w:val="28"/>
          <w:szCs w:val="28"/>
          <w:lang w:eastAsia="zh-CN"/>
        </w:rPr>
        <w:t>实时</w:t>
      </w:r>
      <w:r>
        <w:rPr>
          <w:rFonts w:hint="eastAsia" w:ascii="仿宋" w:hAnsi="仿宋" w:eastAsia="仿宋"/>
          <w:sz w:val="28"/>
          <w:szCs w:val="28"/>
        </w:rPr>
        <w:t>打包的功能。</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灵活设定各级处理、审核、审定大额交易、可疑交易、恐怖融资交易数据岗位的流程节点，能够支持大额、可疑、恐怖融资交易的固定预警信息与人工预警结合上报。</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支持手工增录大额交易、可疑交易、恐怖融资数据，支持对手工生成的大额、可疑、恐怖融资报告的校验、纠错、重报、补报、信息自主添加、删除等功能。</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按照人民银行的接口规范生成正常、重发、补报、补正、纠错、删除等各类型报文（数据包），并可下载、删除、重新生成报文（数据包）。能够从人民银行监测中心反馈的回执文件上自动定位到上报错误记录，自动定位及提示相关单位和人员进行纠正或补录。支持对反洗钱处理工作产生的信息、报告及回执的查询统计。</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可疑案例分析界面支持以下内容：</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案例信息展示——客户基本信息，应包括该案例下所有涉及的关联客户信息，字段包括：客户、客户职业、行业、地址、身份信息，对公客户包括：注册证件类型、证件到期日、注册资金、注册地、经营地、经营范围、法人信息、代理人信息、受益人信息等。</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案例信息展示——账户基本信息，主案例客户号信息，包括款项号、帐号、卡号（无卡号显示空）、账户类型、账户状态（销户/正常/不动户）、账户余额、账户开立机构、账户开立日期</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交易信息查询。需要按照客户号查询同一客户下辖所有账户的交易，且每笔交易的信息要尽量完整，网银、POS等新业务交易也必须清晰的反应。包括：交易时间、交易机构、交易对手姓名、交易对手账号、交易对手所在金融机构、交易金额、交易类型、交易渠道、借贷标志等。</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支持历史可疑报送信息关联查询，（包括人工分析结果）当客户出现可疑交易时，可查询该客户历史上所有上报的可疑交易（包括所有排除未上报的报告），及原始的审核信息，有助于对该客户进行全面的可疑判断。</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支持客户关联评级信息查看。</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支持客户调查分析，包括交易分析、资金网络分析等，应包括总笔数，涉及金额，交易渠道情况分析、交易流向（交易对手所在地）、资金链等要素。</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支持可疑案例处理意见模版化添加，重点要素自动生成。</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560" w:firstLineChars="200"/>
        <w:textAlignment w:val="auto"/>
        <w:outlineLvl w:val="9"/>
        <w:rPr>
          <w:rFonts w:hint="default" w:ascii="仿宋" w:hAnsi="仿宋" w:eastAsia="仿宋"/>
          <w:sz w:val="28"/>
          <w:szCs w:val="28"/>
          <w:lang w:val="en-US" w:eastAsia="zh-CN"/>
        </w:rPr>
      </w:pPr>
      <w:r>
        <w:rPr>
          <w:rFonts w:hint="eastAsia" w:ascii="仿宋" w:hAnsi="仿宋" w:eastAsia="仿宋"/>
          <w:sz w:val="28"/>
          <w:szCs w:val="28"/>
          <w:lang w:val="en-US" w:eastAsia="zh-CN"/>
        </w:rPr>
        <w:t>客户关联关系，如对私客户与其他客户拥有相同的联系电话、地址；对公客户与其他客户拥有相同的联系电话、地址、法人或者代办人。</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可疑案例协查功能</w:t>
      </w:r>
      <w:r>
        <w:rPr>
          <w:rFonts w:hint="eastAsia" w:ascii="仿宋" w:hAnsi="仿宋" w:eastAsia="仿宋"/>
          <w:sz w:val="28"/>
          <w:szCs w:val="28"/>
          <w:lang w:eastAsia="zh-CN"/>
        </w:rPr>
        <w:t>。实现跨机构案例的协查功能。</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查询功能。大额和可疑案例查询、大额和可疑交易查询、客户所有交易查询。</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针对系统内所有的大额与可疑报告可以在长时间内保存报告信息以及相关的审核输入信息，以便在日后进行追责。具有方便的报告与交易历史查询功能。</w:t>
      </w:r>
    </w:p>
    <w:p>
      <w:pPr>
        <w:numPr>
          <w:ilvl w:val="0"/>
          <w:numId w:val="26"/>
        </w:numPr>
        <w:ind w:left="0" w:leftChars="0" w:firstLine="560" w:firstLineChars="200"/>
        <w:rPr>
          <w:rFonts w:hint="eastAsia" w:ascii="仿宋" w:hAnsi="仿宋" w:eastAsia="仿宋"/>
          <w:sz w:val="28"/>
          <w:szCs w:val="28"/>
        </w:rPr>
      </w:pPr>
      <w:r>
        <w:rPr>
          <w:rFonts w:hint="eastAsia" w:ascii="仿宋" w:hAnsi="仿宋" w:eastAsia="仿宋"/>
          <w:sz w:val="28"/>
          <w:szCs w:val="28"/>
        </w:rPr>
        <w:t>按照对公账户、对私账户、财政户、内部账户等，根据金额进行筛选出满足条件的账户，支持满足条件账户信息（包括客户号、账户号、余额等）的导出下载功能。</w:t>
      </w:r>
    </w:p>
    <w:p>
      <w:pPr>
        <w:numPr>
          <w:ilvl w:val="0"/>
          <w:numId w:val="26"/>
        </w:numPr>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模型试验室、沙箱功能。可实现规则、模型、事件的新增，阀值的调整，并能在模型试验室进行新增事件的数据测试，支持新老模型数据统计比对，修改模型案例查看等功能。对于修改好的规则、模型、事件等，可由业务人员直接投产。</w:t>
      </w:r>
    </w:p>
    <w:p>
      <w:pPr>
        <w:numPr>
          <w:ilvl w:val="0"/>
          <w:numId w:val="26"/>
        </w:numPr>
        <w:ind w:left="0" w:leftChars="0" w:firstLine="560" w:firstLineChars="200"/>
        <w:rPr>
          <w:rFonts w:hint="eastAsia"/>
          <w:lang w:val="en-US" w:eastAsia="zh-CN"/>
        </w:rPr>
      </w:pPr>
      <w:r>
        <w:rPr>
          <w:rFonts w:hint="eastAsia" w:ascii="仿宋" w:hAnsi="仿宋" w:eastAsia="仿宋"/>
          <w:sz w:val="28"/>
          <w:szCs w:val="28"/>
          <w:lang w:val="en-US" w:eastAsia="zh-CN"/>
        </w:rPr>
        <w:t>模型有效性统计。实现现有规则、模型、事件的预警数量、成案数量、成案率等数据统计，方便业务人员判断规则的有效性。</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jc w:val="both"/>
        <w:textAlignment w:val="auto"/>
        <w:outlineLvl w:val="9"/>
        <w:rPr>
          <w:rFonts w:hint="eastAsia"/>
          <w:b w:val="0"/>
          <w:bCs/>
          <w:lang w:val="en-US" w:eastAsia="zh-CN"/>
        </w:rPr>
      </w:pPr>
      <w:r>
        <w:rPr>
          <w:rFonts w:hint="eastAsia" w:ascii="仿宋" w:hAnsi="仿宋" w:eastAsia="仿宋"/>
          <w:b w:val="0"/>
          <w:bCs/>
          <w:sz w:val="28"/>
          <w:szCs w:val="28"/>
          <w:lang w:val="en-US" w:eastAsia="zh-CN"/>
        </w:rPr>
        <w:t>15.接续报告功能。有单独的接续报告模块，支持接续报告的单独管理、业务处理等功能。</w:t>
      </w:r>
    </w:p>
    <w:p>
      <w:pPr>
        <w:rPr>
          <w:rFonts w:hint="eastAsia" w:ascii="仿宋" w:hAnsi="仿宋" w:eastAsia="仿宋"/>
          <w:sz w:val="28"/>
          <w:szCs w:val="28"/>
        </w:rPr>
      </w:pPr>
      <w:r>
        <w:rPr>
          <w:rFonts w:hint="eastAsia" w:ascii="仿宋" w:hAnsi="仿宋" w:eastAsia="仿宋"/>
          <w:sz w:val="28"/>
          <w:szCs w:val="28"/>
        </w:rPr>
        <w:t>二、客户风险等级划分</w:t>
      </w:r>
    </w:p>
    <w:p>
      <w:pPr>
        <w:numPr>
          <w:ilvl w:val="0"/>
          <w:numId w:val="28"/>
        </w:numPr>
        <w:ind w:left="0" w:leftChars="0" w:firstLine="560" w:firstLineChars="200"/>
        <w:rPr>
          <w:rFonts w:hint="eastAsia" w:ascii="仿宋" w:hAnsi="仿宋" w:eastAsia="仿宋"/>
          <w:sz w:val="28"/>
          <w:szCs w:val="28"/>
        </w:rPr>
      </w:pPr>
      <w:r>
        <w:rPr>
          <w:rFonts w:hint="eastAsia" w:ascii="仿宋" w:hAnsi="仿宋" w:eastAsia="仿宋"/>
          <w:sz w:val="28"/>
          <w:szCs w:val="28"/>
        </w:rPr>
        <w:t>实现存量客户的风险评级、新开客户的风险评级等功能</w:t>
      </w:r>
      <w:r>
        <w:rPr>
          <w:rFonts w:hint="eastAsia" w:ascii="仿宋" w:hAnsi="仿宋" w:eastAsia="仿宋"/>
          <w:sz w:val="28"/>
          <w:szCs w:val="28"/>
          <w:lang w:val="en-US" w:eastAsia="zh-CN"/>
        </w:rPr>
        <w:t>,客户包括个人客户、对公客户、特约商户</w:t>
      </w:r>
      <w:r>
        <w:rPr>
          <w:rFonts w:hint="eastAsia" w:ascii="仿宋" w:hAnsi="仿宋" w:eastAsia="仿宋"/>
          <w:sz w:val="28"/>
          <w:szCs w:val="28"/>
        </w:rPr>
        <w:t>。</w:t>
      </w:r>
    </w:p>
    <w:p>
      <w:pPr>
        <w:numPr>
          <w:ilvl w:val="0"/>
          <w:numId w:val="28"/>
        </w:numPr>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rPr>
        <w:t>评级规则能与人行规则一致，</w:t>
      </w:r>
      <w:r>
        <w:rPr>
          <w:rFonts w:hint="eastAsia" w:ascii="仿宋" w:hAnsi="仿宋" w:eastAsia="仿宋"/>
          <w:sz w:val="28"/>
          <w:szCs w:val="28"/>
          <w:lang w:eastAsia="zh-CN"/>
        </w:rPr>
        <w:t>设置新开客户和存量客户评级模版，</w:t>
      </w:r>
      <w:r>
        <w:rPr>
          <w:rFonts w:hint="eastAsia" w:ascii="仿宋" w:hAnsi="仿宋" w:eastAsia="仿宋"/>
          <w:sz w:val="28"/>
          <w:szCs w:val="28"/>
        </w:rPr>
        <w:t>并支持本行的个性化需求。如：敏感行业客户默认评级结果；触发名单类客户默认评级结果；客户关联查询、冻结、扣划表，实现风险等级自动调整并默认理由</w:t>
      </w:r>
      <w:r>
        <w:rPr>
          <w:rFonts w:hint="eastAsia" w:ascii="仿宋" w:hAnsi="仿宋" w:eastAsia="仿宋"/>
          <w:sz w:val="28"/>
          <w:szCs w:val="28"/>
          <w:lang w:eastAsia="zh-CN"/>
        </w:rPr>
        <w:t>。</w:t>
      </w:r>
    </w:p>
    <w:p>
      <w:pPr>
        <w:rPr>
          <w:rFonts w:hint="eastAsia" w:ascii="仿宋" w:hAnsi="仿宋" w:eastAsia="仿宋"/>
          <w:sz w:val="28"/>
          <w:szCs w:val="28"/>
        </w:rPr>
      </w:pPr>
      <w:r>
        <w:rPr>
          <w:rFonts w:hint="eastAsia" w:ascii="仿宋" w:hAnsi="仿宋" w:eastAsia="仿宋"/>
          <w:sz w:val="28"/>
          <w:szCs w:val="28"/>
        </w:rPr>
        <w:t>三、客户识别、调查分析及客户交易跟踪监控</w:t>
      </w:r>
    </w:p>
    <w:p>
      <w:pPr>
        <w:numPr>
          <w:ilvl w:val="0"/>
          <w:numId w:val="29"/>
        </w:numPr>
        <w:ind w:left="0" w:leftChars="0" w:firstLine="560" w:firstLineChars="200"/>
        <w:rPr>
          <w:rFonts w:hint="eastAsia" w:ascii="仿宋" w:hAnsi="仿宋" w:eastAsia="仿宋"/>
          <w:sz w:val="28"/>
          <w:szCs w:val="28"/>
        </w:rPr>
      </w:pPr>
      <w:r>
        <w:rPr>
          <w:rFonts w:hint="eastAsia" w:ascii="仿宋" w:hAnsi="仿宋" w:eastAsia="仿宋"/>
          <w:sz w:val="28"/>
          <w:szCs w:val="28"/>
        </w:rPr>
        <w:t>提供客户身份证联网核查、数据存储、查询、导出、打印等功能。提供外来核查数据的导入功能。提供对公客户母子公司、法人代表、关联企业等信息的查询功能。</w:t>
      </w:r>
    </w:p>
    <w:p>
      <w:pPr>
        <w:numPr>
          <w:ilvl w:val="0"/>
          <w:numId w:val="29"/>
        </w:numPr>
        <w:ind w:left="0" w:leftChars="0" w:firstLine="560" w:firstLineChars="200"/>
        <w:rPr>
          <w:rFonts w:hint="eastAsia" w:ascii="仿宋" w:hAnsi="仿宋" w:eastAsia="仿宋"/>
          <w:sz w:val="28"/>
          <w:szCs w:val="28"/>
        </w:rPr>
      </w:pPr>
      <w:r>
        <w:rPr>
          <w:rFonts w:hint="eastAsia" w:ascii="仿宋" w:hAnsi="仿宋" w:eastAsia="仿宋"/>
          <w:sz w:val="28"/>
          <w:szCs w:val="28"/>
        </w:rPr>
        <w:t>提供对客户的客户数据、账户数据、账户余额、交易数据、账户活跃度、债项信息、特殊事件等进行查询统计。</w:t>
      </w:r>
    </w:p>
    <w:p>
      <w:pPr>
        <w:numPr>
          <w:ilvl w:val="0"/>
          <w:numId w:val="29"/>
        </w:numPr>
        <w:ind w:left="0" w:leftChars="0" w:firstLine="560" w:firstLineChars="200"/>
        <w:rPr>
          <w:rFonts w:hint="eastAsia" w:ascii="仿宋" w:hAnsi="仿宋" w:eastAsia="仿宋"/>
          <w:sz w:val="28"/>
          <w:szCs w:val="28"/>
        </w:rPr>
      </w:pPr>
      <w:r>
        <w:rPr>
          <w:rFonts w:hint="eastAsia" w:ascii="仿宋" w:hAnsi="仿宋" w:eastAsia="仿宋"/>
          <w:sz w:val="28"/>
          <w:szCs w:val="28"/>
        </w:rPr>
        <w:t>支持展示客户与账户关系、客户与对手关系、客户与员工关系及资金流向动态分析。</w:t>
      </w:r>
    </w:p>
    <w:p>
      <w:pPr>
        <w:numPr>
          <w:ilvl w:val="0"/>
          <w:numId w:val="29"/>
        </w:numPr>
        <w:ind w:left="0" w:leftChars="0" w:firstLine="560" w:firstLineChars="200"/>
        <w:rPr>
          <w:rFonts w:hint="eastAsia" w:ascii="仿宋" w:hAnsi="仿宋" w:eastAsia="仿宋"/>
          <w:sz w:val="28"/>
          <w:szCs w:val="28"/>
        </w:rPr>
      </w:pPr>
      <w:r>
        <w:rPr>
          <w:rFonts w:hint="eastAsia" w:ascii="仿宋" w:hAnsi="仿宋" w:eastAsia="仿宋"/>
          <w:sz w:val="28"/>
          <w:szCs w:val="28"/>
        </w:rPr>
        <w:t>客户识别：支持对公和对私客户信息不完整不准确的相关信息导出，支持相关字段的筛选功能。字段包括：客户号、客户名称、客户号建立日期、基本信息</w:t>
      </w:r>
      <w:r>
        <w:rPr>
          <w:rFonts w:hint="eastAsia" w:ascii="仿宋" w:hAnsi="仿宋" w:eastAsia="仿宋"/>
          <w:sz w:val="28"/>
          <w:szCs w:val="28"/>
          <w:lang w:eastAsia="zh-CN"/>
        </w:rPr>
        <w:t>等</w:t>
      </w:r>
      <w:r>
        <w:rPr>
          <w:rFonts w:hint="eastAsia" w:ascii="仿宋" w:hAnsi="仿宋" w:eastAsia="仿宋"/>
          <w:sz w:val="28"/>
          <w:szCs w:val="28"/>
        </w:rPr>
        <w:t>。</w:t>
      </w:r>
    </w:p>
    <w:p>
      <w:pPr>
        <w:numPr>
          <w:ilvl w:val="0"/>
          <w:numId w:val="29"/>
        </w:numPr>
        <w:ind w:left="0" w:leftChars="0" w:firstLine="560" w:firstLineChars="200"/>
        <w:rPr>
          <w:rFonts w:hint="eastAsia" w:ascii="仿宋" w:hAnsi="仿宋" w:eastAsia="仿宋"/>
          <w:sz w:val="28"/>
          <w:szCs w:val="28"/>
        </w:rPr>
      </w:pPr>
      <w:r>
        <w:rPr>
          <w:rFonts w:hint="eastAsia" w:ascii="仿宋" w:hAnsi="仿宋" w:eastAsia="仿宋"/>
          <w:sz w:val="28"/>
          <w:szCs w:val="28"/>
        </w:rPr>
        <w:t>对公客户信息实现受益所有人信息的查询功能。</w:t>
      </w:r>
    </w:p>
    <w:p>
      <w:pPr>
        <w:rPr>
          <w:rFonts w:hint="eastAsia" w:ascii="仿宋" w:hAnsi="仿宋" w:eastAsia="仿宋"/>
          <w:sz w:val="28"/>
          <w:szCs w:val="28"/>
        </w:rPr>
      </w:pPr>
      <w:r>
        <w:rPr>
          <w:rFonts w:hint="eastAsia" w:ascii="仿宋" w:hAnsi="仿宋" w:eastAsia="仿宋"/>
          <w:sz w:val="28"/>
          <w:szCs w:val="28"/>
        </w:rPr>
        <w:t>四、监管及内部报表统计分析</w:t>
      </w:r>
    </w:p>
    <w:p>
      <w:pPr>
        <w:numPr>
          <w:ilvl w:val="0"/>
          <w:numId w:val="30"/>
        </w:numPr>
        <w:ind w:left="0" w:leftChars="0" w:firstLine="560" w:firstLineChars="200"/>
        <w:rPr>
          <w:rFonts w:hint="eastAsia" w:ascii="仿宋" w:hAnsi="仿宋" w:eastAsia="仿宋"/>
          <w:sz w:val="28"/>
          <w:szCs w:val="28"/>
        </w:rPr>
      </w:pPr>
      <w:r>
        <w:rPr>
          <w:rFonts w:hint="eastAsia" w:ascii="仿宋" w:hAnsi="仿宋" w:eastAsia="仿宋"/>
          <w:sz w:val="28"/>
          <w:szCs w:val="28"/>
        </w:rPr>
        <w:t>大额交易和可疑交易的采集、上报情况（按机构、业务条线、类型、操作员等纬度）。</w:t>
      </w:r>
    </w:p>
    <w:p>
      <w:pPr>
        <w:numPr>
          <w:ilvl w:val="0"/>
          <w:numId w:val="30"/>
        </w:numPr>
        <w:ind w:left="0" w:leftChars="0" w:firstLine="560" w:firstLineChars="200"/>
        <w:rPr>
          <w:rFonts w:hint="eastAsia" w:ascii="仿宋" w:hAnsi="仿宋" w:eastAsia="仿宋"/>
          <w:sz w:val="28"/>
          <w:szCs w:val="28"/>
        </w:rPr>
      </w:pPr>
      <w:r>
        <w:rPr>
          <w:rFonts w:hint="eastAsia" w:ascii="仿宋" w:hAnsi="仿宋" w:eastAsia="仿宋"/>
          <w:sz w:val="28"/>
          <w:szCs w:val="28"/>
        </w:rPr>
        <w:t>反洗钱非现场监管相关报表、年度报表。包括统计本行及各分支机构各类型客户的新开客户、账户情况，重新识别客户（含一次性交易、修改客户重要信息）情况等。</w:t>
      </w:r>
    </w:p>
    <w:p>
      <w:pPr>
        <w:numPr>
          <w:ilvl w:val="0"/>
          <w:numId w:val="30"/>
        </w:numPr>
        <w:ind w:left="0" w:leftChars="0" w:firstLine="560" w:firstLineChars="200"/>
        <w:rPr>
          <w:rFonts w:hint="eastAsia" w:ascii="仿宋" w:hAnsi="仿宋" w:eastAsia="仿宋"/>
          <w:sz w:val="28"/>
          <w:szCs w:val="28"/>
        </w:rPr>
      </w:pPr>
      <w:r>
        <w:rPr>
          <w:rFonts w:hint="eastAsia" w:ascii="仿宋" w:hAnsi="仿宋" w:eastAsia="仿宋"/>
          <w:sz w:val="28"/>
          <w:szCs w:val="28"/>
        </w:rPr>
        <w:t>根据报送及回执信息，统计一段时间内的报送成功率，补正率等。</w:t>
      </w:r>
    </w:p>
    <w:p>
      <w:pPr>
        <w:numPr>
          <w:ilvl w:val="0"/>
          <w:numId w:val="30"/>
        </w:numPr>
        <w:ind w:left="0" w:leftChars="0" w:firstLine="560" w:firstLineChars="200"/>
        <w:rPr>
          <w:rFonts w:hint="eastAsia" w:ascii="仿宋" w:hAnsi="仿宋" w:eastAsia="仿宋"/>
          <w:sz w:val="28"/>
          <w:szCs w:val="28"/>
        </w:rPr>
      </w:pPr>
      <w:r>
        <w:rPr>
          <w:rFonts w:hint="eastAsia" w:ascii="仿宋" w:hAnsi="仿宋" w:eastAsia="仿宋"/>
          <w:sz w:val="28"/>
          <w:szCs w:val="28"/>
        </w:rPr>
        <w:t>各级分支机构（细化到营业网点）和各操作员录入（补录）差错情况统计。各机构差错率、迟报率统计，并支持机构排名功能。对每日交易补录量进行登记，实现机构纬度补录量的准确统计。</w:t>
      </w:r>
    </w:p>
    <w:p>
      <w:pPr>
        <w:numPr>
          <w:ilvl w:val="0"/>
          <w:numId w:val="30"/>
        </w:numPr>
        <w:ind w:left="0" w:leftChars="0" w:firstLine="560" w:firstLineChars="200"/>
        <w:rPr>
          <w:rFonts w:hint="eastAsia" w:ascii="仿宋" w:hAnsi="仿宋" w:eastAsia="仿宋"/>
          <w:sz w:val="28"/>
          <w:szCs w:val="28"/>
        </w:rPr>
      </w:pPr>
      <w:r>
        <w:rPr>
          <w:rFonts w:hint="eastAsia" w:ascii="仿宋" w:hAnsi="仿宋" w:eastAsia="仿宋"/>
          <w:sz w:val="28"/>
          <w:szCs w:val="28"/>
        </w:rPr>
        <w:t>实现客户交易根据渠道、取数区间累计金额等纬度的筛查、统计、导出功能。</w:t>
      </w:r>
    </w:p>
    <w:p>
      <w:pPr>
        <w:numPr>
          <w:ilvl w:val="0"/>
          <w:numId w:val="30"/>
        </w:numPr>
        <w:ind w:left="0" w:leftChars="0" w:firstLine="560" w:firstLineChars="200"/>
        <w:rPr>
          <w:rFonts w:hint="eastAsia" w:ascii="仿宋" w:hAnsi="仿宋" w:eastAsia="仿宋"/>
          <w:sz w:val="28"/>
          <w:szCs w:val="28"/>
        </w:rPr>
      </w:pPr>
      <w:r>
        <w:rPr>
          <w:rFonts w:hint="eastAsia" w:ascii="仿宋" w:hAnsi="仿宋" w:eastAsia="仿宋"/>
          <w:sz w:val="28"/>
          <w:szCs w:val="28"/>
        </w:rPr>
        <w:t>产品、机构洗钱风险评估取数或登记功能。主要是固有风险评估表格中反洗钱系统可出数字段的自动取数。</w:t>
      </w:r>
    </w:p>
    <w:p>
      <w:pPr>
        <w:numPr>
          <w:ilvl w:val="0"/>
          <w:numId w:val="30"/>
        </w:numPr>
        <w:ind w:left="0" w:leftChars="0" w:firstLine="560" w:firstLineChars="200"/>
        <w:rPr>
          <w:rFonts w:hint="eastAsia" w:ascii="仿宋" w:hAnsi="仿宋" w:eastAsia="仿宋"/>
          <w:sz w:val="28"/>
          <w:szCs w:val="28"/>
        </w:rPr>
      </w:pPr>
      <w:r>
        <w:rPr>
          <w:rFonts w:hint="eastAsia" w:ascii="仿宋" w:hAnsi="仿宋" w:eastAsia="仿宋"/>
          <w:sz w:val="28"/>
          <w:szCs w:val="28"/>
        </w:rPr>
        <w:t>实现300</w:t>
      </w:r>
      <w:r>
        <w:rPr>
          <w:rFonts w:hint="eastAsia" w:ascii="仿宋" w:hAnsi="仿宋" w:eastAsia="仿宋"/>
          <w:sz w:val="28"/>
          <w:szCs w:val="28"/>
          <w:lang w:eastAsia="zh-CN"/>
        </w:rPr>
        <w:t>号文</w:t>
      </w:r>
      <w:r>
        <w:rPr>
          <w:rFonts w:hint="eastAsia" w:ascii="仿宋" w:hAnsi="仿宋" w:eastAsia="仿宋"/>
          <w:sz w:val="28"/>
          <w:szCs w:val="28"/>
        </w:rPr>
        <w:t>报表的取数</w:t>
      </w:r>
      <w:r>
        <w:rPr>
          <w:rFonts w:hint="eastAsia" w:ascii="仿宋" w:hAnsi="仿宋" w:eastAsia="仿宋"/>
          <w:sz w:val="28"/>
          <w:szCs w:val="28"/>
          <w:lang w:eastAsia="zh-CN"/>
        </w:rPr>
        <w:t>以及相关性校验</w:t>
      </w:r>
      <w:r>
        <w:rPr>
          <w:rFonts w:hint="eastAsia" w:ascii="仿宋" w:hAnsi="仿宋" w:eastAsia="仿宋"/>
          <w:sz w:val="28"/>
          <w:szCs w:val="28"/>
        </w:rPr>
        <w:t>功能。</w:t>
      </w:r>
    </w:p>
    <w:p>
      <w:pPr>
        <w:numPr>
          <w:ilvl w:val="0"/>
          <w:numId w:val="30"/>
        </w:numPr>
        <w:ind w:left="0" w:leftChars="0" w:firstLine="560" w:firstLineChars="200"/>
        <w:rPr>
          <w:rFonts w:hint="eastAsia" w:ascii="仿宋" w:hAnsi="仿宋" w:eastAsia="仿宋"/>
          <w:sz w:val="28"/>
          <w:szCs w:val="28"/>
        </w:rPr>
      </w:pPr>
      <w:r>
        <w:rPr>
          <w:rFonts w:hint="eastAsia" w:ascii="仿宋" w:hAnsi="仿宋" w:eastAsia="仿宋"/>
          <w:sz w:val="28"/>
          <w:szCs w:val="28"/>
        </w:rPr>
        <w:t>数据自查。实现客户信息、交易信息逻辑取数，特指行内开展反洗钱非现场检查可自定义数据类型进行问题数据导出，如检查期间内发生交易客户要素不全的数据导出、客户证件有效期录入明显错误的数据导出、客户性别录入错误的数据导出等。</w:t>
      </w:r>
    </w:p>
    <w:p>
      <w:pPr>
        <w:rPr>
          <w:rFonts w:hint="eastAsia"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、系统管理</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人员管理：对反洗钱人员的基本信息进行添加、修改、删除等管理，并支持其他功能模块对其调用。</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用户组管理：以用户组的方式将同一类的用户进行管理。</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权限管理：主要管理反洗钱工作平台中的用户、角色和用户组。其中用户管理主要是维护参与反洗钱工作平台项目的用户的新增、修改、状态维护、重置密码等信息,以及维护各类用户的用户类别、用户角色、用户组等属性，从而限定其在反洗钱工作平台的功能权限和数据权限。功能权限是指用户可以使用的系统功能，具体表现为可以使用的系统功能菜单，由角色来控制；数据权限是指用户可以访问的数据范围，具体表现为可以查询到哪些单位的数据、可以查询哪些表的数据，由用户组来控制。</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机构管理：系统管理员可以对反洗钱工作平台中的分支行机构进行新增、删除和修改。反洗钱机构分为总行、村镇银行、营业网点三个层次，系统管理员可以对反洗钱机构按照机构树的层次进行查询。</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参数规则管理：系统管理员可以对大额可疑、风险评级等业务既定规则参数及阀值进行调整和配置。</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日志管理：用户在系统中的所有重要操作行为都会留下操作日志，系统管理员可以通过日志查询来追踪用户使用本系统的情况。日志的深度要求到具体的操作。</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系统具备可扩张性，可依据需求方进行功能的后继开发。</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提供各项业务操作的培训及完整操作流程。</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权限划分：按照总、分、中心支行、支行、分理处的等级划分，支持分行运管部操作员有所辖支行管理员权限，预留分理处操作员号对分理处交易进行处理权限，以便实现业务量多的支行工作量分散。</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日常待办：查看各级机构、各操作员工作任务的处理情况，并向相关人员发出催办（督办）提示（通知）。</w:t>
      </w:r>
    </w:p>
    <w:p>
      <w:pPr>
        <w:rPr>
          <w:rFonts w:hint="eastAsia" w:ascii="仿宋" w:hAnsi="仿宋" w:eastAsia="仿宋"/>
          <w:sz w:val="28"/>
          <w:szCs w:val="28"/>
        </w:rPr>
      </w:pPr>
      <w:r>
        <w:rPr>
          <w:rFonts w:hint="eastAsia" w:ascii="仿宋" w:hAnsi="仿宋" w:eastAsia="仿宋"/>
          <w:sz w:val="28"/>
          <w:szCs w:val="28"/>
          <w:lang w:eastAsia="zh-CN"/>
        </w:rPr>
        <w:t>六</w:t>
      </w:r>
      <w:r>
        <w:rPr>
          <w:rFonts w:hint="eastAsia" w:ascii="仿宋" w:hAnsi="仿宋" w:eastAsia="仿宋"/>
          <w:sz w:val="28"/>
          <w:szCs w:val="28"/>
        </w:rPr>
        <w:t>、名单管理</w:t>
      </w:r>
    </w:p>
    <w:p>
      <w:pPr>
        <w:keepNext w:val="0"/>
        <w:keepLines w:val="0"/>
        <w:pageBreakBefore w:val="0"/>
        <w:widowControl w:val="0"/>
        <w:numPr>
          <w:ilvl w:val="0"/>
          <w:numId w:val="32"/>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黑名单及回溯。支持手工新增单笔、批量导入、系统自动更新黑名单数据，实现洗钱及恐怖融资名单、政治敏感人物、道琼斯名单的T+1更新功能，并支持名单客户的T+1回溯、回溯结果可查</w:t>
      </w:r>
      <w:r>
        <w:rPr>
          <w:rFonts w:hint="eastAsia" w:ascii="仿宋" w:hAnsi="仿宋" w:eastAsia="仿宋"/>
          <w:sz w:val="28"/>
          <w:szCs w:val="28"/>
          <w:lang w:eastAsia="zh-CN"/>
        </w:rPr>
        <w:t>，支持黑名单客户回溯日期、回溯结果的展示</w:t>
      </w:r>
      <w:r>
        <w:rPr>
          <w:rFonts w:hint="eastAsia" w:ascii="仿宋" w:hAnsi="仿宋" w:eastAsia="仿宋"/>
          <w:sz w:val="28"/>
          <w:szCs w:val="28"/>
        </w:rPr>
        <w:t>。</w:t>
      </w:r>
    </w:p>
    <w:p>
      <w:pPr>
        <w:keepNext w:val="0"/>
        <w:keepLines w:val="0"/>
        <w:pageBreakBefore w:val="0"/>
        <w:widowControl w:val="0"/>
        <w:numPr>
          <w:ilvl w:val="0"/>
          <w:numId w:val="32"/>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白名单。支持手工新增单笔、批量导入白名单数据，白名单可供选择免报类型。</w:t>
      </w:r>
    </w:p>
    <w:p>
      <w:pPr>
        <w:keepNext w:val="0"/>
        <w:keepLines w:val="0"/>
        <w:pageBreakBefore w:val="0"/>
        <w:widowControl w:val="0"/>
        <w:numPr>
          <w:ilvl w:val="0"/>
          <w:numId w:val="32"/>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灰名单。支持手工新增、批量导入灰名单客户，同时对于上报过可疑可疑涉及的客户自动添加到灰名单中。</w:t>
      </w:r>
    </w:p>
    <w:p>
      <w:pPr>
        <w:keepNext w:val="0"/>
        <w:keepLines w:val="0"/>
        <w:pageBreakBefore w:val="0"/>
        <w:widowControl w:val="0"/>
        <w:numPr>
          <w:ilvl w:val="0"/>
          <w:numId w:val="32"/>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除对现有国家发布的黑名单客户进行导入监测外，支持对我行可认定的白名单客户（如国有事业单位等）以及黑名单客户的添加功能，由各机构进行提交，再经审批岗进行审核确认。</w:t>
      </w:r>
    </w:p>
    <w:p>
      <w:pPr>
        <w:keepNext w:val="0"/>
        <w:keepLines w:val="0"/>
        <w:pageBreakBefore w:val="0"/>
        <w:widowControl w:val="0"/>
        <w:numPr>
          <w:ilvl w:val="0"/>
          <w:numId w:val="32"/>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rPr>
      </w:pPr>
      <w:r>
        <w:rPr>
          <w:rFonts w:hint="eastAsia" w:ascii="仿宋" w:hAnsi="仿宋" w:eastAsia="仿宋"/>
          <w:sz w:val="28"/>
          <w:szCs w:val="28"/>
        </w:rPr>
        <w:t>根据客户、账户等特定对象，进行“黑名单”等名单跟踪监控。对每天产生的客户跟踪信息、账户跟踪信息可以按跟踪开始时间、跟踪的结束时间、最后的交易时间、跟踪客户名称、交易总金额数、预警次数以及跟踪级别等进行组合查询。</w:t>
      </w:r>
    </w:p>
    <w:p>
      <w:pPr>
        <w:pStyle w:val="2"/>
        <w:jc w:val="left"/>
        <w:rPr>
          <w:rFonts w:hint="eastAsia" w:ascii="仿宋" w:hAnsi="仿宋" w:eastAsia="仿宋"/>
          <w:b w:val="0"/>
          <w:bCs/>
          <w:sz w:val="28"/>
          <w:szCs w:val="28"/>
          <w:lang w:val="en-US" w:eastAsia="zh-CN"/>
        </w:rPr>
      </w:pPr>
      <w:r>
        <w:rPr>
          <w:rFonts w:hint="eastAsia" w:ascii="仿宋" w:hAnsi="仿宋" w:eastAsia="仿宋"/>
          <w:b w:val="0"/>
          <w:bCs/>
          <w:sz w:val="28"/>
          <w:szCs w:val="28"/>
          <w:lang w:eastAsia="zh-CN"/>
        </w:rPr>
        <w:t>七、</w:t>
      </w:r>
      <w:r>
        <w:rPr>
          <w:rFonts w:hint="eastAsia" w:ascii="仿宋" w:hAnsi="仿宋" w:eastAsia="仿宋"/>
          <w:b w:val="0"/>
          <w:bCs/>
          <w:sz w:val="28"/>
          <w:szCs w:val="28"/>
          <w:lang w:val="en-US" w:eastAsia="zh-CN"/>
        </w:rPr>
        <w:t>300报表导出</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jc w:val="left"/>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支持300号文相关报表的全量和单独导出，有基本的逻辑校验规则，保证表与表之间客户数量一致性、交易数量一致性、评级结果完整性等。</w:t>
      </w:r>
    </w:p>
    <w:p>
      <w:pPr>
        <w:pStyle w:val="2"/>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480" w:lineRule="auto"/>
        <w:ind w:right="0" w:rightChars="0"/>
        <w:jc w:val="left"/>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八、监管检查内控模块</w:t>
      </w:r>
    </w:p>
    <w:p>
      <w:pPr>
        <w:pStyle w:val="2"/>
        <w:keepNext w:val="0"/>
        <w:keepLines w:val="0"/>
        <w:pageBreakBefore w:val="0"/>
        <w:widowControl w:val="0"/>
        <w:numPr>
          <w:ilvl w:val="0"/>
          <w:numId w:val="33"/>
        </w:numPr>
        <w:kinsoku/>
        <w:wordWrap/>
        <w:overflowPunct/>
        <w:topLinePunct w:val="0"/>
        <w:autoSpaceDE/>
        <w:autoSpaceDN/>
        <w:bidi w:val="0"/>
        <w:adjustRightInd/>
        <w:snapToGrid/>
        <w:spacing w:line="480" w:lineRule="auto"/>
        <w:ind w:left="0" w:leftChars="0" w:right="0" w:rightChars="0" w:firstLine="560" w:firstLineChars="200"/>
        <w:jc w:val="left"/>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支持监管检查前数据的自查自纠，包括个人客户基本信息、对公客户基本信息的校验，可通过提前预设数据完整性、准确性校验规则，形成本行问题数据，支持前台数据错误类型数量展示，并能导出相关明细。</w:t>
      </w:r>
    </w:p>
    <w:p>
      <w:pPr>
        <w:pStyle w:val="2"/>
        <w:keepNext w:val="0"/>
        <w:keepLines w:val="0"/>
        <w:pageBreakBefore w:val="0"/>
        <w:widowControl w:val="0"/>
        <w:numPr>
          <w:ilvl w:val="0"/>
          <w:numId w:val="33"/>
        </w:numPr>
        <w:kinsoku/>
        <w:wordWrap/>
        <w:overflowPunct/>
        <w:topLinePunct w:val="0"/>
        <w:autoSpaceDE/>
        <w:autoSpaceDN/>
        <w:bidi w:val="0"/>
        <w:adjustRightInd/>
        <w:snapToGrid/>
        <w:spacing w:line="480" w:lineRule="auto"/>
        <w:ind w:left="0" w:leftChars="0" w:right="0" w:rightChars="0" w:firstLine="560" w:firstLineChars="200"/>
        <w:jc w:val="left"/>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数据检查模型可配置化，可支持后续业务人员增加数据逻辑校验规则，提高数据自查灵活性。</w:t>
      </w:r>
    </w:p>
    <w:p>
      <w:pPr>
        <w:numPr>
          <w:ilvl w:val="0"/>
          <w:numId w:val="25"/>
        </w:numPr>
        <w:ind w:left="425" w:leftChars="0" w:hanging="425" w:firstLineChars="0"/>
        <w:rPr>
          <w:rFonts w:hint="eastAsia" w:ascii="仿宋" w:hAnsi="仿宋" w:eastAsia="仿宋" w:cs="仿宋"/>
          <w:b/>
          <w:bCs/>
          <w:sz w:val="28"/>
          <w:szCs w:val="28"/>
        </w:rPr>
      </w:pPr>
      <w:r>
        <w:rPr>
          <w:rFonts w:hint="eastAsia" w:ascii="仿宋" w:hAnsi="仿宋" w:eastAsia="仿宋" w:cs="仿宋"/>
          <w:b/>
          <w:bCs/>
          <w:snapToGrid w:val="0"/>
          <w:color w:val="000000"/>
          <w:sz w:val="28"/>
          <w:szCs w:val="28"/>
          <w:lang w:val="en-US" w:eastAsia="zh-CN"/>
        </w:rPr>
        <w:t>技术及性能需求</w:t>
      </w:r>
    </w:p>
    <w:p>
      <w:pPr>
        <w:keepNext w:val="0"/>
        <w:keepLines w:val="0"/>
        <w:pageBreakBefore w:val="0"/>
        <w:widowControl w:val="0"/>
        <w:numPr>
          <w:ilvl w:val="0"/>
          <w:numId w:val="34"/>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系统满足以下性能要求</w:t>
      </w:r>
    </w:p>
    <w:p>
      <w:pPr>
        <w:keepNext w:val="0"/>
        <w:keepLines w:val="0"/>
        <w:pageBreakBefore w:val="0"/>
        <w:widowControl w:val="0"/>
        <w:numPr>
          <w:ilvl w:val="0"/>
          <w:numId w:val="35"/>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eastAsia="zh-CN"/>
        </w:rPr>
      </w:pPr>
      <w:r>
        <w:rPr>
          <w:rFonts w:hint="eastAsia" w:ascii="仿宋" w:hAnsi="仿宋" w:eastAsia="仿宋"/>
          <w:sz w:val="28"/>
          <w:szCs w:val="28"/>
        </w:rPr>
        <w:t>业务量：最大支持2000万账户，1000万主体</w:t>
      </w:r>
      <w:r>
        <w:rPr>
          <w:rFonts w:hint="eastAsia" w:ascii="仿宋" w:hAnsi="仿宋" w:eastAsia="仿宋"/>
          <w:sz w:val="28"/>
          <w:szCs w:val="28"/>
          <w:lang w:eastAsia="zh-CN"/>
        </w:rPr>
        <w:t>；</w:t>
      </w:r>
    </w:p>
    <w:p>
      <w:pPr>
        <w:keepNext w:val="0"/>
        <w:keepLines w:val="0"/>
        <w:pageBreakBefore w:val="0"/>
        <w:widowControl w:val="0"/>
        <w:numPr>
          <w:ilvl w:val="0"/>
          <w:numId w:val="35"/>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sz w:val="28"/>
          <w:szCs w:val="28"/>
        </w:rPr>
        <w:t>系统用户数：最大使用系统人数500人，同时在线人数200人</w:t>
      </w:r>
      <w:r>
        <w:rPr>
          <w:rFonts w:hint="eastAsia" w:ascii="仿宋" w:hAnsi="仿宋" w:eastAsia="仿宋"/>
          <w:sz w:val="28"/>
          <w:szCs w:val="28"/>
          <w:lang w:val="en-US" w:eastAsia="zh-CN"/>
        </w:rPr>
        <w:t>;</w:t>
      </w:r>
    </w:p>
    <w:p>
      <w:pPr>
        <w:keepNext w:val="0"/>
        <w:keepLines w:val="0"/>
        <w:pageBreakBefore w:val="0"/>
        <w:widowControl w:val="0"/>
        <w:numPr>
          <w:ilvl w:val="0"/>
          <w:numId w:val="35"/>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sz w:val="28"/>
          <w:szCs w:val="28"/>
          <w:lang w:val="en-US" w:eastAsia="zh-CN"/>
        </w:rPr>
        <w:t>业</w:t>
      </w:r>
      <w:r>
        <w:rPr>
          <w:rFonts w:hint="eastAsia" w:ascii="仿宋" w:hAnsi="仿宋" w:eastAsia="仿宋"/>
          <w:sz w:val="28"/>
          <w:szCs w:val="28"/>
        </w:rPr>
        <w:t>务人员前台操作响应时间平均</w:t>
      </w:r>
      <w:r>
        <w:rPr>
          <w:rFonts w:hint="eastAsia" w:ascii="仿宋" w:hAnsi="仿宋" w:eastAsia="仿宋"/>
          <w:sz w:val="28"/>
          <w:szCs w:val="28"/>
          <w:lang w:eastAsia="zh-CN"/>
        </w:rPr>
        <w:t>小于</w:t>
      </w:r>
      <w:r>
        <w:rPr>
          <w:rFonts w:hint="eastAsia" w:ascii="仿宋" w:hAnsi="仿宋" w:eastAsia="仿宋"/>
          <w:sz w:val="28"/>
          <w:szCs w:val="28"/>
        </w:rPr>
        <w:t>3秒；所有后台数据处理和计算，需在</w:t>
      </w:r>
      <w:r>
        <w:rPr>
          <w:rFonts w:hint="eastAsia" w:ascii="仿宋" w:hAnsi="仿宋" w:eastAsia="仿宋"/>
          <w:sz w:val="28"/>
          <w:szCs w:val="28"/>
          <w:lang w:val="en-US" w:eastAsia="zh-CN"/>
        </w:rPr>
        <w:t>3</w:t>
      </w:r>
      <w:r>
        <w:rPr>
          <w:rFonts w:hint="eastAsia" w:ascii="仿宋" w:hAnsi="仿宋" w:eastAsia="仿宋"/>
          <w:sz w:val="28"/>
          <w:szCs w:val="28"/>
        </w:rPr>
        <w:t>小时内完成；实时响应的接口延迟时间，不超过1</w:t>
      </w:r>
      <w:r>
        <w:rPr>
          <w:rFonts w:hint="eastAsia" w:ascii="仿宋" w:hAnsi="仿宋" w:eastAsia="仿宋"/>
          <w:sz w:val="28"/>
          <w:szCs w:val="28"/>
          <w:lang w:val="en-US" w:eastAsia="zh-CN"/>
        </w:rPr>
        <w:t>0</w:t>
      </w:r>
      <w:r>
        <w:rPr>
          <w:rFonts w:hint="eastAsia" w:ascii="仿宋" w:hAnsi="仿宋" w:eastAsia="仿宋"/>
          <w:sz w:val="28"/>
          <w:szCs w:val="28"/>
        </w:rPr>
        <w:t>00毫秒</w:t>
      </w:r>
      <w:r>
        <w:rPr>
          <w:rFonts w:hint="eastAsia" w:ascii="仿宋" w:hAnsi="仿宋" w:eastAsia="仿宋"/>
          <w:sz w:val="28"/>
          <w:szCs w:val="28"/>
          <w:lang w:val="en-US" w:eastAsia="zh-CN"/>
        </w:rPr>
        <w:t>;</w:t>
      </w:r>
    </w:p>
    <w:p>
      <w:pPr>
        <w:keepNext w:val="0"/>
        <w:keepLines w:val="0"/>
        <w:pageBreakBefore w:val="0"/>
        <w:widowControl w:val="0"/>
        <w:numPr>
          <w:ilvl w:val="0"/>
          <w:numId w:val="34"/>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eastAsia="zh-CN"/>
        </w:rPr>
      </w:pPr>
      <w:r>
        <w:rPr>
          <w:rFonts w:hint="eastAsia" w:ascii="仿宋" w:hAnsi="仿宋" w:eastAsia="仿宋"/>
          <w:sz w:val="28"/>
          <w:szCs w:val="28"/>
          <w:lang w:val="en-US" w:eastAsia="zh-CN"/>
        </w:rPr>
        <w:t>系统支持IE11、谷歌等主流浏览器，支持OceanBase、DB2数据库且数据库密码不能明文出现在配置文件中</w:t>
      </w:r>
      <w:r>
        <w:rPr>
          <w:rFonts w:hint="eastAsia" w:ascii="仿宋" w:hAnsi="仿宋" w:eastAsia="仿宋"/>
          <w:sz w:val="28"/>
          <w:szCs w:val="28"/>
          <w:lang w:eastAsia="zh-CN"/>
        </w:rPr>
        <w:t>。</w:t>
      </w:r>
    </w:p>
    <w:p>
      <w:pPr>
        <w:keepNext w:val="0"/>
        <w:keepLines w:val="0"/>
        <w:pageBreakBefore w:val="0"/>
        <w:widowControl w:val="0"/>
        <w:numPr>
          <w:ilvl w:val="0"/>
          <w:numId w:val="34"/>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对上游源系统数据进行数据校验，积极配合行内数据治理工作的推进。</w:t>
      </w:r>
    </w:p>
    <w:p>
      <w:pPr>
        <w:keepNext w:val="0"/>
        <w:keepLines w:val="0"/>
        <w:pageBreakBefore w:val="0"/>
        <w:widowControl w:val="0"/>
        <w:numPr>
          <w:ilvl w:val="0"/>
          <w:numId w:val="34"/>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eastAsia="zh-CN"/>
        </w:rPr>
      </w:pPr>
      <w:r>
        <w:rPr>
          <w:rFonts w:hint="eastAsia" w:ascii="仿宋" w:hAnsi="仿宋" w:eastAsia="仿宋" w:cs="仿宋"/>
          <w:sz w:val="28"/>
          <w:szCs w:val="28"/>
          <w:lang w:val="en-US" w:eastAsia="zh-CN"/>
        </w:rPr>
        <w:t>除监管要求的数据标准外，</w:t>
      </w:r>
      <w:r>
        <w:rPr>
          <w:rFonts w:hint="eastAsia" w:ascii="仿宋" w:hAnsi="仿宋" w:eastAsia="仿宋" w:cs="仿宋"/>
          <w:sz w:val="28"/>
          <w:szCs w:val="28"/>
          <w:lang w:eastAsia="zh-CN"/>
        </w:rPr>
        <w:t>数据需符合我行数据标准小组指定的数据标准，并积极配合后续行内数标工作的推进</w:t>
      </w:r>
      <w:r>
        <w:rPr>
          <w:rFonts w:hint="eastAsia" w:ascii="仿宋" w:hAnsi="仿宋" w:eastAsia="仿宋"/>
          <w:sz w:val="28"/>
          <w:szCs w:val="28"/>
          <w:lang w:eastAsia="zh-CN"/>
        </w:rPr>
        <w:t>。</w:t>
      </w:r>
    </w:p>
    <w:p>
      <w:pPr>
        <w:keepNext w:val="0"/>
        <w:keepLines w:val="0"/>
        <w:pageBreakBefore w:val="0"/>
        <w:widowControl w:val="0"/>
        <w:numPr>
          <w:ilvl w:val="0"/>
          <w:numId w:val="34"/>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与行内员工中心以及蓝信系统对接，实现行内员工统一登录系统平台要求以及系统跑批报错预警。</w:t>
      </w:r>
    </w:p>
    <w:p>
      <w:pPr>
        <w:numPr>
          <w:ilvl w:val="0"/>
          <w:numId w:val="25"/>
        </w:numPr>
        <w:ind w:left="425" w:leftChars="0" w:hanging="425" w:firstLineChars="0"/>
        <w:rPr>
          <w:rFonts w:hint="eastAsia" w:ascii="仿宋" w:hAnsi="仿宋" w:eastAsia="仿宋" w:cs="仿宋"/>
          <w:b/>
          <w:bCs/>
          <w:sz w:val="28"/>
          <w:szCs w:val="28"/>
        </w:rPr>
      </w:pPr>
      <w:r>
        <w:rPr>
          <w:rFonts w:hint="eastAsia" w:ascii="仿宋" w:hAnsi="仿宋" w:eastAsia="仿宋" w:cs="仿宋"/>
          <w:b/>
          <w:bCs/>
          <w:snapToGrid w:val="0"/>
          <w:color w:val="000000"/>
          <w:sz w:val="28"/>
          <w:szCs w:val="28"/>
          <w:lang w:val="en-US" w:eastAsia="zh-CN"/>
        </w:rPr>
        <w:t>非功能需求</w:t>
      </w:r>
    </w:p>
    <w:p>
      <w:pPr>
        <w:keepNext w:val="0"/>
        <w:keepLines w:val="0"/>
        <w:pageBreakBefore w:val="0"/>
        <w:widowControl w:val="0"/>
        <w:numPr>
          <w:ilvl w:val="0"/>
          <w:numId w:val="36"/>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升级服务：后期根据行业内的发现，若有系统版本更新较大的，需要提供免费升级服务。</w:t>
      </w:r>
    </w:p>
    <w:p>
      <w:pPr>
        <w:keepNext w:val="0"/>
        <w:keepLines w:val="0"/>
        <w:pageBreakBefore w:val="0"/>
        <w:widowControl w:val="0"/>
        <w:numPr>
          <w:ilvl w:val="0"/>
          <w:numId w:val="36"/>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需提供产品全部源码，且后期我行根据此源码开发出的其它产品或实施方在我行的指引开发出来的其它产品，我行具有著作权。</w:t>
      </w:r>
    </w:p>
    <w:p>
      <w:pPr>
        <w:keepNext w:val="0"/>
        <w:keepLines w:val="0"/>
        <w:pageBreakBefore w:val="0"/>
        <w:widowControl w:val="0"/>
        <w:numPr>
          <w:ilvl w:val="0"/>
          <w:numId w:val="36"/>
        </w:numPr>
        <w:kinsoku/>
        <w:wordWrap/>
        <w:overflowPunct/>
        <w:topLinePunct w:val="0"/>
        <w:autoSpaceDE/>
        <w:autoSpaceDN/>
        <w:bidi w:val="0"/>
        <w:adjustRightInd/>
        <w:snapToGrid/>
        <w:ind w:left="0" w:leftChars="0" w:firstLine="560" w:firstLineChars="200"/>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完整的数据备份方案以及清理策略，满足人行数据保存要求。</w:t>
      </w:r>
    </w:p>
    <w:p>
      <w:pPr>
        <w:pStyle w:val="2"/>
        <w:rPr>
          <w:rFonts w:hint="eastAsia"/>
          <w:lang w:val="en-US" w:eastAsia="zh-CN"/>
        </w:rPr>
      </w:pPr>
    </w:p>
    <w:p>
      <w:pPr>
        <w:rPr>
          <w:rFonts w:ascii="华文仿宋" w:hAnsi="华文仿宋" w:eastAsia="华文仿宋" w:cs="华文仿宋"/>
          <w:sz w:val="28"/>
          <w:szCs w:val="28"/>
        </w:rPr>
      </w:pPr>
      <w:r>
        <w:rPr>
          <w:rFonts w:hint="eastAsia" w:ascii="华文仿宋" w:hAnsi="华文仿宋" w:eastAsia="华文仿宋" w:cs="华文仿宋"/>
          <w:sz w:val="28"/>
          <w:szCs w:val="28"/>
          <w:lang w:eastAsia="zh-CN"/>
        </w:rPr>
        <w:t>项目</w:t>
      </w:r>
      <w:r>
        <w:rPr>
          <w:rFonts w:hint="eastAsia" w:ascii="华文仿宋" w:hAnsi="华文仿宋" w:eastAsia="华文仿宋" w:cs="华文仿宋"/>
          <w:sz w:val="28"/>
          <w:szCs w:val="28"/>
        </w:rPr>
        <w:t>提交件清单：</w:t>
      </w:r>
    </w:p>
    <w:tbl>
      <w:tblPr>
        <w:tblStyle w:val="38"/>
        <w:tblW w:w="7484" w:type="dxa"/>
        <w:jc w:val="center"/>
        <w:tblInd w:w="0" w:type="dxa"/>
        <w:tblLayout w:type="fixed"/>
        <w:tblCellMar>
          <w:top w:w="0" w:type="dxa"/>
          <w:left w:w="0" w:type="dxa"/>
          <w:bottom w:w="0" w:type="dxa"/>
          <w:right w:w="0" w:type="dxa"/>
        </w:tblCellMar>
      </w:tblPr>
      <w:tblGrid>
        <w:gridCol w:w="2020"/>
        <w:gridCol w:w="3069"/>
        <w:gridCol w:w="2395"/>
      </w:tblGrid>
      <w:tr>
        <w:tblPrEx>
          <w:tblLayout w:type="fixed"/>
          <w:tblCellMar>
            <w:top w:w="0" w:type="dxa"/>
            <w:left w:w="0" w:type="dxa"/>
            <w:bottom w:w="0" w:type="dxa"/>
            <w:right w:w="0" w:type="dxa"/>
          </w:tblCellMar>
        </w:tblPrEx>
        <w:trPr>
          <w:trHeight w:val="380" w:hRule="atLeast"/>
          <w:jc w:val="center"/>
        </w:trPr>
        <w:tc>
          <w:tcPr>
            <w:tcW w:w="2020" w:type="dxa"/>
            <w:tcBorders>
              <w:top w:val="single" w:color="auto" w:sz="8" w:space="0"/>
              <w:left w:val="single" w:color="auto" w:sz="8" w:space="0"/>
              <w:bottom w:val="single" w:color="auto" w:sz="8" w:space="0"/>
              <w:right w:val="single" w:color="auto" w:sz="8" w:space="0"/>
            </w:tcBorders>
            <w:shd w:val="pct10" w:color="auto" w:fill="FFFFFF"/>
          </w:tcPr>
          <w:p>
            <w:pPr>
              <w:autoSpaceDE w:val="0"/>
              <w:autoSpaceDN w:val="0"/>
              <w:adjustRightInd w:val="0"/>
              <w:spacing w:line="360" w:lineRule="auto"/>
              <w:jc w:val="center"/>
              <w:rPr>
                <w:rFonts w:ascii="仿宋" w:hAnsi="仿宋" w:eastAsia="仿宋" w:cs="华文仿宋"/>
                <w:b/>
                <w:kern w:val="0"/>
                <w:sz w:val="22"/>
                <w:szCs w:val="22"/>
              </w:rPr>
            </w:pPr>
            <w:r>
              <w:rPr>
                <w:rFonts w:hint="eastAsia" w:ascii="仿宋" w:hAnsi="仿宋" w:eastAsia="仿宋" w:cs="华文仿宋"/>
                <w:b/>
                <w:kern w:val="0"/>
                <w:sz w:val="22"/>
                <w:szCs w:val="22"/>
              </w:rPr>
              <w:t>里程碑阶段名称</w:t>
            </w:r>
          </w:p>
        </w:tc>
        <w:tc>
          <w:tcPr>
            <w:tcW w:w="3069" w:type="dxa"/>
            <w:tcBorders>
              <w:top w:val="single" w:color="auto" w:sz="8" w:space="0"/>
              <w:left w:val="nil"/>
              <w:bottom w:val="single" w:color="auto" w:sz="8" w:space="0"/>
              <w:right w:val="single" w:color="auto" w:sz="8" w:space="0"/>
            </w:tcBorders>
            <w:shd w:val="pct10" w:color="auto" w:fill="FFFFFF"/>
          </w:tcPr>
          <w:p>
            <w:pPr>
              <w:autoSpaceDE w:val="0"/>
              <w:autoSpaceDN w:val="0"/>
              <w:adjustRightInd w:val="0"/>
              <w:spacing w:line="360" w:lineRule="auto"/>
              <w:jc w:val="center"/>
              <w:rPr>
                <w:rFonts w:ascii="仿宋" w:hAnsi="仿宋" w:eastAsia="仿宋" w:cs="华文仿宋"/>
                <w:b/>
                <w:kern w:val="0"/>
                <w:sz w:val="22"/>
                <w:szCs w:val="22"/>
              </w:rPr>
            </w:pPr>
            <w:r>
              <w:rPr>
                <w:rFonts w:hint="eastAsia" w:ascii="仿宋" w:hAnsi="仿宋" w:eastAsia="仿宋" w:cs="华文仿宋"/>
                <w:b/>
                <w:kern w:val="0"/>
                <w:sz w:val="22"/>
                <w:szCs w:val="22"/>
              </w:rPr>
              <w:t>交付物名称</w:t>
            </w:r>
          </w:p>
        </w:tc>
        <w:tc>
          <w:tcPr>
            <w:tcW w:w="2395" w:type="dxa"/>
            <w:tcBorders>
              <w:top w:val="single" w:color="auto" w:sz="8" w:space="0"/>
              <w:left w:val="nil"/>
              <w:bottom w:val="single" w:color="auto" w:sz="8" w:space="0"/>
              <w:right w:val="single" w:color="auto" w:sz="8" w:space="0"/>
            </w:tcBorders>
            <w:shd w:val="pct10" w:color="auto" w:fill="FFFFFF"/>
          </w:tcPr>
          <w:p>
            <w:pPr>
              <w:autoSpaceDE w:val="0"/>
              <w:autoSpaceDN w:val="0"/>
              <w:adjustRightInd w:val="0"/>
              <w:spacing w:line="360" w:lineRule="auto"/>
              <w:jc w:val="center"/>
              <w:rPr>
                <w:rFonts w:ascii="仿宋" w:hAnsi="仿宋" w:eastAsia="仿宋" w:cs="华文仿宋"/>
                <w:b/>
                <w:kern w:val="0"/>
                <w:sz w:val="22"/>
                <w:szCs w:val="22"/>
              </w:rPr>
            </w:pPr>
            <w:r>
              <w:rPr>
                <w:rFonts w:hint="eastAsia" w:ascii="仿宋" w:hAnsi="仿宋" w:eastAsia="仿宋" w:cs="华文仿宋"/>
                <w:b/>
                <w:kern w:val="0"/>
                <w:sz w:val="22"/>
                <w:szCs w:val="22"/>
              </w:rPr>
              <w:t>交付形式</w:t>
            </w:r>
          </w:p>
        </w:tc>
      </w:tr>
      <w:tr>
        <w:tblPrEx>
          <w:tblLayout w:type="fixed"/>
          <w:tblCellMar>
            <w:top w:w="0" w:type="dxa"/>
            <w:left w:w="0" w:type="dxa"/>
            <w:bottom w:w="0" w:type="dxa"/>
            <w:right w:w="0" w:type="dxa"/>
          </w:tblCellMar>
        </w:tblPrEx>
        <w:trPr>
          <w:trHeight w:val="380" w:hRule="atLeast"/>
          <w:jc w:val="center"/>
        </w:trPr>
        <w:tc>
          <w:tcPr>
            <w:tcW w:w="2020" w:type="dxa"/>
            <w:tcBorders>
              <w:left w:val="single" w:color="auto" w:sz="8" w:space="0"/>
              <w:bottom w:val="single" w:color="auto" w:sz="8" w:space="0"/>
              <w:right w:val="single" w:color="auto" w:sz="8" w:space="0"/>
            </w:tcBorders>
            <w:shd w:val="clear" w:color="auto" w:fill="FFFFFF"/>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项目入场</w:t>
            </w:r>
          </w:p>
        </w:tc>
        <w:tc>
          <w:tcPr>
            <w:tcW w:w="3069" w:type="dxa"/>
            <w:tcBorders>
              <w:top w:val="single" w:color="auto" w:sz="8" w:space="0"/>
              <w:left w:val="nil"/>
              <w:bottom w:val="single" w:color="auto" w:sz="8" w:space="0"/>
              <w:right w:val="single" w:color="auto" w:sz="8" w:space="0"/>
            </w:tcBorders>
            <w:shd w:val="clear" w:color="auto" w:fill="FFFFFF"/>
          </w:tcPr>
          <w:p>
            <w:pPr>
              <w:autoSpaceDE w:val="0"/>
              <w:autoSpaceDN w:val="0"/>
              <w:adjustRightInd w:val="0"/>
              <w:spacing w:line="360" w:lineRule="auto"/>
              <w:rPr>
                <w:rFonts w:ascii="仿宋" w:hAnsi="仿宋" w:eastAsia="仿宋" w:cs="华文仿宋"/>
                <w:kern w:val="0"/>
                <w:sz w:val="22"/>
                <w:szCs w:val="22"/>
              </w:rPr>
            </w:pPr>
            <w:r>
              <w:rPr>
                <w:rFonts w:hint="eastAsia" w:ascii="仿宋" w:hAnsi="仿宋" w:eastAsia="仿宋" w:cs="华文仿宋"/>
                <w:kern w:val="0"/>
                <w:sz w:val="22"/>
                <w:szCs w:val="22"/>
              </w:rPr>
              <w:t>项目实施总控计划</w:t>
            </w:r>
          </w:p>
        </w:tc>
        <w:tc>
          <w:tcPr>
            <w:tcW w:w="2395" w:type="dxa"/>
            <w:tcBorders>
              <w:top w:val="single" w:color="auto" w:sz="8" w:space="0"/>
              <w:left w:val="nil"/>
              <w:bottom w:val="single" w:color="auto" w:sz="8" w:space="0"/>
              <w:right w:val="single" w:color="auto" w:sz="8" w:space="0"/>
            </w:tcBorders>
            <w:shd w:val="clear" w:color="auto" w:fill="FFFFFF"/>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restart"/>
            <w:tcBorders>
              <w:top w:val="single" w:color="auto" w:sz="8" w:space="0"/>
              <w:left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日常管理</w:t>
            </w:r>
          </w:p>
        </w:tc>
        <w:tc>
          <w:tcPr>
            <w:tcW w:w="3069" w:type="dxa"/>
            <w:tcBorders>
              <w:top w:val="nil"/>
              <w:left w:val="nil"/>
              <w:bottom w:val="single" w:color="auto" w:sz="4"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项目管理周报</w:t>
            </w:r>
          </w:p>
        </w:tc>
        <w:tc>
          <w:tcPr>
            <w:tcW w:w="2395" w:type="dxa"/>
            <w:tcBorders>
              <w:top w:val="nil"/>
              <w:left w:val="nil"/>
              <w:bottom w:val="single" w:color="auto" w:sz="4"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p>
        </w:tc>
        <w:tc>
          <w:tcPr>
            <w:tcW w:w="3069" w:type="dxa"/>
            <w:tcBorders>
              <w:top w:val="nil"/>
              <w:left w:val="nil"/>
              <w:bottom w:val="single" w:color="auto" w:sz="4"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项目启动会材料</w:t>
            </w:r>
          </w:p>
        </w:tc>
        <w:tc>
          <w:tcPr>
            <w:tcW w:w="2395" w:type="dxa"/>
            <w:tcBorders>
              <w:top w:val="nil"/>
              <w:left w:val="nil"/>
              <w:bottom w:val="single" w:color="auto" w:sz="4"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8" w:space="0"/>
              <w:bottom w:val="single" w:color="auto" w:sz="4" w:space="0"/>
              <w:right w:val="single" w:color="auto" w:sz="8" w:space="0"/>
            </w:tcBorders>
            <w:vAlign w:val="center"/>
          </w:tcPr>
          <w:p>
            <w:pPr>
              <w:autoSpaceDE w:val="0"/>
              <w:autoSpaceDN w:val="0"/>
              <w:adjustRightInd w:val="0"/>
              <w:spacing w:line="360" w:lineRule="auto"/>
              <w:ind w:firstLine="440" w:firstLineChars="200"/>
              <w:jc w:val="center"/>
              <w:rPr>
                <w:rFonts w:ascii="仿宋" w:hAnsi="仿宋" w:eastAsia="仿宋" w:cs="华文仿宋"/>
                <w:kern w:val="0"/>
                <w:sz w:val="22"/>
                <w:szCs w:val="22"/>
              </w:rPr>
            </w:pPr>
          </w:p>
        </w:tc>
        <w:tc>
          <w:tcPr>
            <w:tcW w:w="3069" w:type="dxa"/>
            <w:tcBorders>
              <w:top w:val="nil"/>
              <w:left w:val="nil"/>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详细项目实施计划</w:t>
            </w:r>
          </w:p>
        </w:tc>
        <w:tc>
          <w:tcPr>
            <w:tcW w:w="2395" w:type="dxa"/>
            <w:tcBorders>
              <w:top w:val="nil"/>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90" w:hRule="atLeast"/>
          <w:jc w:val="center"/>
        </w:trPr>
        <w:tc>
          <w:tcPr>
            <w:tcW w:w="2020" w:type="dxa"/>
            <w:vMerge w:val="restart"/>
            <w:tcBorders>
              <w:top w:val="single" w:color="auto" w:sz="4" w:space="0"/>
              <w:left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需求分析</w:t>
            </w:r>
          </w:p>
        </w:tc>
        <w:tc>
          <w:tcPr>
            <w:tcW w:w="3069"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需求规格说明书（业务方案）</w:t>
            </w:r>
          </w:p>
        </w:tc>
        <w:tc>
          <w:tcPr>
            <w:tcW w:w="2395"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8" w:space="0"/>
              <w:bottom w:val="single" w:color="auto" w:sz="8" w:space="0"/>
              <w:right w:val="single" w:color="auto" w:sz="8" w:space="0"/>
            </w:tcBorders>
            <w:vAlign w:val="center"/>
          </w:tcPr>
          <w:p>
            <w:pPr>
              <w:autoSpaceDE w:val="0"/>
              <w:autoSpaceDN w:val="0"/>
              <w:adjustRightInd w:val="0"/>
              <w:spacing w:line="360" w:lineRule="auto"/>
              <w:jc w:val="center"/>
              <w:rPr>
                <w:rFonts w:hint="eastAsia" w:ascii="仿宋" w:hAnsi="仿宋" w:eastAsia="仿宋" w:cs="华文仿宋"/>
                <w:kern w:val="0"/>
                <w:sz w:val="22"/>
                <w:szCs w:val="22"/>
              </w:rPr>
            </w:pPr>
          </w:p>
        </w:tc>
        <w:tc>
          <w:tcPr>
            <w:tcW w:w="3069"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left"/>
              <w:rPr>
                <w:rFonts w:hint="eastAsia" w:ascii="仿宋" w:hAnsi="仿宋" w:eastAsia="仿宋" w:cs="华文仿宋"/>
                <w:kern w:val="0"/>
                <w:sz w:val="22"/>
                <w:szCs w:val="22"/>
              </w:rPr>
            </w:pPr>
            <w:r>
              <w:rPr>
                <w:rFonts w:hint="eastAsia" w:ascii="仿宋" w:hAnsi="仿宋" w:eastAsia="仿宋" w:cs="华文仿宋"/>
                <w:kern w:val="0"/>
                <w:sz w:val="22"/>
                <w:szCs w:val="22"/>
              </w:rPr>
              <w:t>需求清单</w:t>
            </w:r>
          </w:p>
        </w:tc>
        <w:tc>
          <w:tcPr>
            <w:tcW w:w="2395"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center"/>
              <w:rPr>
                <w:rFonts w:hint="eastAsia"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restart"/>
            <w:tcBorders>
              <w:top w:val="single" w:color="auto" w:sz="8" w:space="0"/>
              <w:left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设计开发</w:t>
            </w:r>
          </w:p>
        </w:tc>
        <w:tc>
          <w:tcPr>
            <w:tcW w:w="3069" w:type="dxa"/>
            <w:tcBorders>
              <w:top w:val="single" w:color="auto" w:sz="8"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概要设计说明书</w:t>
            </w:r>
          </w:p>
        </w:tc>
        <w:tc>
          <w:tcPr>
            <w:tcW w:w="2395"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p>
        </w:tc>
        <w:tc>
          <w:tcPr>
            <w:tcW w:w="3069" w:type="dxa"/>
            <w:tcBorders>
              <w:top w:val="single" w:color="auto" w:sz="8"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数据库设计说明书</w:t>
            </w:r>
          </w:p>
        </w:tc>
        <w:tc>
          <w:tcPr>
            <w:tcW w:w="2395"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p>
        </w:tc>
        <w:tc>
          <w:tcPr>
            <w:tcW w:w="3069" w:type="dxa"/>
            <w:tcBorders>
              <w:top w:val="single" w:color="auto" w:sz="8"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接口设计说明书</w:t>
            </w:r>
          </w:p>
        </w:tc>
        <w:tc>
          <w:tcPr>
            <w:tcW w:w="2395"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p>
        </w:tc>
        <w:tc>
          <w:tcPr>
            <w:tcW w:w="3069" w:type="dxa"/>
            <w:tcBorders>
              <w:top w:val="single" w:color="auto" w:sz="8"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int="eastAsia" w:ascii="仿宋" w:hAnsi="仿宋" w:eastAsia="仿宋" w:cs="华文仿宋"/>
                <w:kern w:val="0"/>
                <w:sz w:val="22"/>
                <w:szCs w:val="22"/>
                <w:lang w:val="en-US" w:eastAsia="zh-CN"/>
              </w:rPr>
            </w:pPr>
            <w:r>
              <w:rPr>
                <w:rFonts w:hint="eastAsia" w:ascii="仿宋" w:hAnsi="仿宋" w:eastAsia="仿宋" w:cs="华文仿宋"/>
                <w:kern w:val="0"/>
                <w:sz w:val="22"/>
                <w:szCs w:val="22"/>
                <w:lang w:val="en-US" w:eastAsia="zh-CN"/>
              </w:rPr>
              <w:t>模型设计说明书（Mapping映射、字典等）</w:t>
            </w:r>
          </w:p>
        </w:tc>
        <w:tc>
          <w:tcPr>
            <w:tcW w:w="2395"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华文仿宋"/>
                <w:kern w:val="0"/>
                <w:sz w:val="22"/>
                <w:szCs w:val="22"/>
              </w:rPr>
            </w:pPr>
          </w:p>
        </w:tc>
        <w:tc>
          <w:tcPr>
            <w:tcW w:w="3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hint="eastAsia" w:ascii="仿宋" w:hAnsi="仿宋" w:eastAsia="仿宋" w:cs="华文仿宋"/>
                <w:kern w:val="0"/>
                <w:sz w:val="22"/>
                <w:szCs w:val="22"/>
                <w:lang w:eastAsia="zh-CN"/>
              </w:rPr>
            </w:pPr>
            <w:r>
              <w:rPr>
                <w:rFonts w:hint="eastAsia" w:ascii="仿宋" w:hAnsi="仿宋" w:eastAsia="仿宋" w:cs="华文仿宋"/>
                <w:kern w:val="0"/>
                <w:sz w:val="22"/>
                <w:szCs w:val="22"/>
              </w:rPr>
              <w:t>单元测试报告</w:t>
            </w:r>
          </w:p>
        </w:tc>
        <w:tc>
          <w:tcPr>
            <w:tcW w:w="2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华文仿宋"/>
                <w:kern w:val="0"/>
                <w:sz w:val="22"/>
                <w:szCs w:val="22"/>
              </w:rPr>
            </w:pPr>
            <w:r>
              <w:rPr>
                <w:rFonts w:hint="eastAsia" w:ascii="仿宋" w:hAnsi="仿宋" w:eastAsia="仿宋" w:cs="华文仿宋"/>
                <w:kern w:val="0"/>
                <w:sz w:val="22"/>
                <w:szCs w:val="22"/>
              </w:rPr>
              <w:t>电子文档/纸质文档</w:t>
            </w:r>
          </w:p>
        </w:tc>
      </w:tr>
      <w:tr>
        <w:tblPrEx>
          <w:tblLayout w:type="fixed"/>
          <w:tblCellMar>
            <w:top w:w="0" w:type="dxa"/>
            <w:left w:w="0" w:type="dxa"/>
            <w:bottom w:w="0" w:type="dxa"/>
            <w:right w:w="0" w:type="dxa"/>
          </w:tblCellMar>
        </w:tblPrEx>
        <w:trPr>
          <w:trHeight w:val="380" w:hRule="atLeast"/>
          <w:jc w:val="center"/>
        </w:trPr>
        <w:tc>
          <w:tcPr>
            <w:tcW w:w="2020" w:type="dxa"/>
            <w:vMerge w:val="restart"/>
            <w:tcBorders>
              <w:left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集成测试</w:t>
            </w:r>
          </w:p>
        </w:tc>
        <w:tc>
          <w:tcPr>
            <w:tcW w:w="3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hint="eastAsia" w:ascii="仿宋" w:hAnsi="仿宋" w:eastAsia="仿宋" w:cs="华文仿宋"/>
                <w:kern w:val="0"/>
                <w:sz w:val="22"/>
                <w:szCs w:val="22"/>
                <w:highlight w:val="yellow"/>
                <w:lang w:eastAsia="zh-CN"/>
              </w:rPr>
            </w:pPr>
            <w:r>
              <w:rPr>
                <w:rFonts w:hint="eastAsia" w:ascii="仿宋" w:hAnsi="仿宋" w:eastAsia="仿宋" w:cs="华文仿宋"/>
                <w:kern w:val="0"/>
                <w:sz w:val="22"/>
                <w:szCs w:val="22"/>
              </w:rPr>
              <w:t>集成测试用例和缺陷</w:t>
            </w:r>
          </w:p>
        </w:tc>
        <w:tc>
          <w:tcPr>
            <w:tcW w:w="2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p>
        </w:tc>
        <w:tc>
          <w:tcPr>
            <w:tcW w:w="30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系统集成测试报告</w:t>
            </w:r>
          </w:p>
        </w:tc>
        <w:tc>
          <w:tcPr>
            <w:tcW w:w="2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电子文档/纸质文档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p>
        </w:tc>
        <w:tc>
          <w:tcPr>
            <w:tcW w:w="3069" w:type="dxa"/>
            <w:tcBorders>
              <w:top w:val="nil"/>
              <w:left w:val="single" w:color="auto" w:sz="4" w:space="0"/>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性能测试报告</w:t>
            </w:r>
          </w:p>
        </w:tc>
        <w:tc>
          <w:tcPr>
            <w:tcW w:w="2395" w:type="dxa"/>
            <w:tcBorders>
              <w:top w:val="nil"/>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电子文档/纸质文档</w:t>
            </w:r>
          </w:p>
        </w:tc>
      </w:tr>
      <w:tr>
        <w:tblPrEx>
          <w:tblLayout w:type="fixed"/>
          <w:tblCellMar>
            <w:top w:w="0" w:type="dxa"/>
            <w:left w:w="0" w:type="dxa"/>
            <w:bottom w:w="0" w:type="dxa"/>
            <w:right w:w="0" w:type="dxa"/>
          </w:tblCellMar>
        </w:tblPrEx>
        <w:trPr>
          <w:trHeight w:val="380" w:hRule="atLeast"/>
          <w:jc w:val="center"/>
        </w:trPr>
        <w:tc>
          <w:tcPr>
            <w:tcW w:w="202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用户培训</w:t>
            </w:r>
          </w:p>
        </w:tc>
        <w:tc>
          <w:tcPr>
            <w:tcW w:w="3069" w:type="dxa"/>
            <w:tcBorders>
              <w:top w:val="nil"/>
              <w:left w:val="single" w:color="auto" w:sz="4" w:space="0"/>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用户培训材料</w:t>
            </w:r>
          </w:p>
        </w:tc>
        <w:tc>
          <w:tcPr>
            <w:tcW w:w="2395" w:type="dxa"/>
            <w:tcBorders>
              <w:top w:val="nil"/>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p>
        </w:tc>
        <w:tc>
          <w:tcPr>
            <w:tcW w:w="3069" w:type="dxa"/>
            <w:tcBorders>
              <w:top w:val="nil"/>
              <w:left w:val="single" w:color="auto" w:sz="4" w:space="0"/>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开发培训手册</w:t>
            </w:r>
          </w:p>
        </w:tc>
        <w:tc>
          <w:tcPr>
            <w:tcW w:w="2395" w:type="dxa"/>
            <w:tcBorders>
              <w:top w:val="nil"/>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华文仿宋"/>
                <w:kern w:val="0"/>
                <w:sz w:val="22"/>
                <w:szCs w:val="22"/>
              </w:rPr>
            </w:pPr>
          </w:p>
        </w:tc>
        <w:tc>
          <w:tcPr>
            <w:tcW w:w="3069" w:type="dxa"/>
            <w:tcBorders>
              <w:top w:val="nil"/>
              <w:left w:val="nil"/>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sz w:val="22"/>
                <w:szCs w:val="22"/>
              </w:rPr>
              <w:t>上线步骤</w:t>
            </w:r>
          </w:p>
        </w:tc>
        <w:tc>
          <w:tcPr>
            <w:tcW w:w="2395" w:type="dxa"/>
            <w:tcBorders>
              <w:top w:val="nil"/>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restart"/>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上线准备和上线</w:t>
            </w:r>
          </w:p>
        </w:tc>
        <w:tc>
          <w:tcPr>
            <w:tcW w:w="3069" w:type="dxa"/>
            <w:tcBorders>
              <w:top w:val="nil"/>
              <w:left w:val="nil"/>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用户操作手册</w:t>
            </w:r>
          </w:p>
        </w:tc>
        <w:tc>
          <w:tcPr>
            <w:tcW w:w="2395" w:type="dxa"/>
            <w:tcBorders>
              <w:top w:val="nil"/>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spacing w:line="360" w:lineRule="auto"/>
              <w:ind w:firstLine="200"/>
              <w:rPr>
                <w:rFonts w:ascii="仿宋" w:hAnsi="仿宋" w:eastAsia="仿宋" w:cs="华文仿宋"/>
                <w:kern w:val="0"/>
                <w:sz w:val="22"/>
                <w:szCs w:val="22"/>
              </w:rPr>
            </w:pPr>
          </w:p>
        </w:tc>
        <w:tc>
          <w:tcPr>
            <w:tcW w:w="3069" w:type="dxa"/>
            <w:tcBorders>
              <w:top w:val="single" w:color="auto" w:sz="4" w:space="0"/>
              <w:left w:val="nil"/>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系统运维手册</w:t>
            </w:r>
          </w:p>
        </w:tc>
        <w:tc>
          <w:tcPr>
            <w:tcW w:w="2395" w:type="dxa"/>
            <w:tcBorders>
              <w:top w:val="single" w:color="auto" w:sz="4" w:space="0"/>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spacing w:line="360" w:lineRule="auto"/>
              <w:ind w:firstLine="440" w:firstLineChars="200"/>
              <w:jc w:val="center"/>
              <w:rPr>
                <w:rFonts w:ascii="仿宋" w:hAnsi="仿宋" w:eastAsia="仿宋" w:cs="华文仿宋"/>
                <w:kern w:val="0"/>
                <w:sz w:val="22"/>
                <w:szCs w:val="22"/>
              </w:rPr>
            </w:pPr>
          </w:p>
        </w:tc>
        <w:tc>
          <w:tcPr>
            <w:tcW w:w="3069"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sz w:val="22"/>
                <w:szCs w:val="22"/>
              </w:rPr>
              <w:t>上线</w:t>
            </w:r>
            <w:r>
              <w:rPr>
                <w:rFonts w:hint="eastAsia" w:ascii="仿宋" w:hAnsi="仿宋" w:eastAsia="仿宋" w:cs="华文仿宋"/>
                <w:kern w:val="0"/>
                <w:sz w:val="22"/>
                <w:szCs w:val="22"/>
              </w:rPr>
              <w:t>计划和方案</w:t>
            </w:r>
          </w:p>
        </w:tc>
        <w:tc>
          <w:tcPr>
            <w:tcW w:w="2395"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spacing w:line="360" w:lineRule="auto"/>
              <w:ind w:firstLine="440" w:firstLineChars="200"/>
              <w:jc w:val="center"/>
              <w:rPr>
                <w:rFonts w:ascii="仿宋" w:hAnsi="仿宋" w:eastAsia="仿宋" w:cs="华文仿宋"/>
                <w:kern w:val="0"/>
                <w:sz w:val="22"/>
                <w:szCs w:val="22"/>
              </w:rPr>
            </w:pPr>
          </w:p>
        </w:tc>
        <w:tc>
          <w:tcPr>
            <w:tcW w:w="3069"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系统回退方案</w:t>
            </w:r>
          </w:p>
        </w:tc>
        <w:tc>
          <w:tcPr>
            <w:tcW w:w="2395"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r>
        <w:tblPrEx>
          <w:tblLayout w:type="fixed"/>
          <w:tblCellMar>
            <w:top w:w="0" w:type="dxa"/>
            <w:left w:w="0" w:type="dxa"/>
            <w:bottom w:w="0" w:type="dxa"/>
            <w:right w:w="0" w:type="dxa"/>
          </w:tblCellMar>
        </w:tblPrEx>
        <w:trPr>
          <w:trHeight w:val="380" w:hRule="atLeast"/>
          <w:jc w:val="center"/>
        </w:trPr>
        <w:tc>
          <w:tcPr>
            <w:tcW w:w="2020" w:type="dxa"/>
            <w:vMerge w:val="continue"/>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spacing w:line="360" w:lineRule="auto"/>
              <w:ind w:firstLine="440" w:firstLineChars="200"/>
              <w:jc w:val="center"/>
              <w:rPr>
                <w:rFonts w:ascii="仿宋" w:hAnsi="仿宋" w:eastAsia="仿宋" w:cs="华文仿宋"/>
                <w:kern w:val="0"/>
                <w:sz w:val="22"/>
                <w:szCs w:val="22"/>
              </w:rPr>
            </w:pPr>
          </w:p>
        </w:tc>
        <w:tc>
          <w:tcPr>
            <w:tcW w:w="3069"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left"/>
              <w:rPr>
                <w:rFonts w:ascii="仿宋" w:hAnsi="仿宋" w:eastAsia="仿宋" w:cs="华文仿宋"/>
                <w:kern w:val="0"/>
                <w:sz w:val="22"/>
                <w:szCs w:val="22"/>
              </w:rPr>
            </w:pPr>
            <w:r>
              <w:rPr>
                <w:rFonts w:hint="eastAsia" w:ascii="仿宋" w:hAnsi="仿宋" w:eastAsia="仿宋" w:cs="华文仿宋"/>
                <w:kern w:val="0"/>
                <w:sz w:val="22"/>
                <w:szCs w:val="22"/>
              </w:rPr>
              <w:t>项目全部源代码（应用及平台源代码）</w:t>
            </w:r>
          </w:p>
        </w:tc>
        <w:tc>
          <w:tcPr>
            <w:tcW w:w="2395" w:type="dxa"/>
            <w:tcBorders>
              <w:top w:val="single" w:color="auto" w:sz="8" w:space="0"/>
              <w:left w:val="nil"/>
              <w:bottom w:val="single" w:color="auto" w:sz="8" w:space="0"/>
              <w:right w:val="single" w:color="auto" w:sz="8" w:space="0"/>
            </w:tcBorders>
            <w:vAlign w:val="center"/>
          </w:tcPr>
          <w:p>
            <w:pPr>
              <w:autoSpaceDE w:val="0"/>
              <w:autoSpaceDN w:val="0"/>
              <w:adjustRightInd w:val="0"/>
              <w:spacing w:line="360" w:lineRule="auto"/>
              <w:jc w:val="center"/>
              <w:rPr>
                <w:rFonts w:ascii="仿宋" w:hAnsi="仿宋" w:eastAsia="仿宋" w:cs="华文仿宋"/>
                <w:kern w:val="0"/>
                <w:sz w:val="22"/>
                <w:szCs w:val="22"/>
              </w:rPr>
            </w:pPr>
            <w:r>
              <w:rPr>
                <w:rFonts w:hint="eastAsia" w:ascii="仿宋" w:hAnsi="仿宋" w:eastAsia="仿宋" w:cs="华文仿宋"/>
                <w:kern w:val="0"/>
                <w:sz w:val="22"/>
                <w:szCs w:val="22"/>
              </w:rPr>
              <w:t>电子文档</w:t>
            </w:r>
          </w:p>
        </w:tc>
      </w:tr>
    </w:tbl>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ind w:firstLine="420" w:firstLineChars="0"/>
        <w:jc w:val="both"/>
        <w:textAlignment w:val="auto"/>
        <w:outlineLvl w:val="9"/>
        <w:rPr>
          <w:rFonts w:hint="eastAsia" w:ascii="仿宋" w:hAnsi="仿宋" w:eastAsia="仿宋" w:cs="仿宋"/>
          <w:sz w:val="28"/>
          <w:szCs w:val="28"/>
          <w:lang w:val="en-US" w:eastAsia="zh-CN"/>
        </w:rPr>
      </w:pPr>
    </w:p>
    <w:p>
      <w:pPr>
        <w:pStyle w:val="2"/>
        <w:jc w:val="both"/>
        <w:rPr>
          <w:rFonts w:hint="eastAsia"/>
          <w:lang w:val="en-US" w:eastAsia="zh-CN"/>
        </w:rPr>
      </w:pPr>
    </w:p>
    <w:p>
      <w:pPr>
        <w:keepNext w:val="0"/>
        <w:keepLines w:val="0"/>
        <w:pageBreakBefore w:val="0"/>
        <w:widowControl w:val="0"/>
        <w:numPr>
          <w:ilvl w:val="0"/>
          <w:numId w:val="24"/>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产品详细介绍</w:t>
      </w: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（填写产品介绍请注意文档格式）</w:t>
      </w: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24"/>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产品所需软硬件清单</w:t>
      </w: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请从附表我行支持软硬件清单中选择，超出范围的需进行标注。</w:t>
      </w: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（一）所需软件清单</w:t>
      </w:r>
    </w:p>
    <w:tbl>
      <w:tblPr>
        <w:tblStyle w:val="38"/>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lang w:eastAsia="zh-CN"/>
              </w:rPr>
            </w:pPr>
            <w:r>
              <w:rPr>
                <w:rFonts w:hint="eastAsia" w:ascii="华文仿宋" w:hAnsi="华文仿宋" w:eastAsia="华文仿宋" w:cs="华文仿宋"/>
                <w:b/>
                <w:bCs/>
                <w:sz w:val="21"/>
                <w:szCs w:val="21"/>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val="0"/>
                <w:iCs w:val="0"/>
                <w:sz w:val="20"/>
                <w:szCs w:val="20"/>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37"/>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所需硬件清单</w:t>
      </w:r>
    </w:p>
    <w:tbl>
      <w:tblPr>
        <w:tblStyle w:val="39"/>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硬件名称</w:t>
            </w:r>
          </w:p>
        </w:tc>
        <w:tc>
          <w:tcPr>
            <w:tcW w:w="765" w:type="dxa"/>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品牌</w:t>
            </w:r>
          </w:p>
        </w:tc>
        <w:tc>
          <w:tcPr>
            <w:tcW w:w="975" w:type="dxa"/>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数量</w:t>
            </w:r>
          </w:p>
        </w:tc>
        <w:tc>
          <w:tcPr>
            <w:tcW w:w="2812" w:type="dxa"/>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基本配置</w:t>
            </w:r>
          </w:p>
        </w:tc>
        <w:tc>
          <w:tcPr>
            <w:tcW w:w="1679" w:type="dxa"/>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97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2812"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1679"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bl>
    <w:p>
      <w:pPr>
        <w:numPr>
          <w:ilvl w:val="0"/>
          <w:numId w:val="0"/>
        </w:numPr>
        <w:tabs>
          <w:tab w:val="clear" w:pos="360"/>
          <w:tab w:val="clear" w:pos="425"/>
        </w:tabs>
        <w:adjustRightInd w:val="0"/>
        <w:ind w:leftChars="270"/>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24"/>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系统架构规划</w:t>
      </w:r>
    </w:p>
    <w:p>
      <w:pPr>
        <w:numPr>
          <w:ilvl w:val="0"/>
          <w:numId w:val="38"/>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系统架构图</w:t>
      </w:r>
      <w:r>
        <w:rPr>
          <w:rFonts w:hint="eastAsia" w:ascii="仿宋" w:hAnsi="仿宋" w:eastAsia="仿宋" w:cs="仿宋"/>
          <w:snapToGrid w:val="0"/>
          <w:color w:val="000000"/>
          <w:sz w:val="22"/>
          <w:szCs w:val="22"/>
          <w:highlight w:val="red"/>
          <w:lang w:eastAsia="zh-CN"/>
        </w:rPr>
        <w:t>（我行已建立</w:t>
      </w:r>
      <w:r>
        <w:rPr>
          <w:rFonts w:hint="eastAsia" w:ascii="仿宋" w:hAnsi="仿宋" w:eastAsia="仿宋" w:cs="仿宋"/>
          <w:snapToGrid w:val="0"/>
          <w:color w:val="000000"/>
          <w:sz w:val="22"/>
          <w:szCs w:val="22"/>
          <w:highlight w:val="red"/>
          <w:lang w:val="en-US" w:eastAsia="zh-CN"/>
        </w:rPr>
        <w:t>ESB企业服务总线、数据总线）</w:t>
      </w:r>
      <w:r>
        <w:rPr>
          <w:rFonts w:hint="eastAsia" w:ascii="仿宋" w:hAnsi="仿宋" w:eastAsia="仿宋" w:cs="仿宋"/>
          <w:snapToGrid w:val="0"/>
          <w:color w:val="000000"/>
          <w:sz w:val="28"/>
          <w:szCs w:val="28"/>
          <w:highlight w:val="red"/>
          <w:lang w:val="en-US" w:eastAsia="zh-CN"/>
        </w:rPr>
        <w:t xml:space="preserve"> </w:t>
      </w:r>
      <w:r>
        <w:rPr>
          <w:rFonts w:hint="eastAsia" w:ascii="仿宋" w:hAnsi="仿宋" w:eastAsia="仿宋" w:cs="仿宋"/>
          <w:snapToGrid w:val="0"/>
          <w:color w:val="000000"/>
          <w:sz w:val="28"/>
          <w:szCs w:val="28"/>
          <w:lang w:val="en-US" w:eastAsia="zh-CN"/>
        </w:rPr>
        <w:t xml:space="preserve">  </w:t>
      </w: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numPr>
          <w:ilvl w:val="0"/>
          <w:numId w:val="38"/>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硬件拓补图</w:t>
      </w:r>
      <w:r>
        <w:rPr>
          <w:rFonts w:hint="eastAsia" w:ascii="仿宋" w:hAnsi="仿宋" w:eastAsia="仿宋" w:cs="仿宋"/>
          <w:snapToGrid w:val="0"/>
          <w:color w:val="000000"/>
          <w:sz w:val="22"/>
          <w:szCs w:val="22"/>
          <w:lang w:eastAsia="zh-CN"/>
        </w:rPr>
        <w:t>（</w:t>
      </w:r>
      <w:r>
        <w:rPr>
          <w:rFonts w:hint="eastAsia" w:ascii="仿宋" w:hAnsi="仿宋" w:eastAsia="仿宋" w:cs="仿宋"/>
          <w:snapToGrid w:val="0"/>
          <w:color w:val="000000"/>
          <w:sz w:val="22"/>
          <w:szCs w:val="22"/>
          <w:lang w:val="en-US" w:eastAsia="zh-CN"/>
        </w:rPr>
        <w:t>请从附表</w:t>
      </w:r>
      <w:r>
        <w:rPr>
          <w:rFonts w:hint="eastAsia" w:ascii="华文仿宋" w:hAnsi="华文仿宋" w:eastAsia="华文仿宋" w:cs="华文仿宋"/>
          <w:b w:val="0"/>
          <w:bCs w:val="0"/>
          <w:sz w:val="24"/>
          <w:szCs w:val="24"/>
          <w:highlight w:val="none"/>
          <w:lang w:val="en-US" w:eastAsia="zh-CN"/>
        </w:rPr>
        <w:t>我行</w:t>
      </w:r>
      <w:r>
        <w:rPr>
          <w:rFonts w:hint="eastAsia" w:ascii="仿宋" w:hAnsi="仿宋" w:eastAsia="仿宋" w:cs="仿宋"/>
          <w:snapToGrid w:val="0"/>
          <w:color w:val="000000"/>
          <w:sz w:val="22"/>
          <w:szCs w:val="22"/>
          <w:lang w:val="en-US" w:eastAsia="zh-CN"/>
        </w:rPr>
        <w:t>支持软硬件清单中选择所需硬件类型，超出范围的请标注）</w:t>
      </w: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t>附表：我行支持软硬件清单</w:t>
      </w: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（1）我行支持软件清单</w:t>
      </w:r>
    </w:p>
    <w:tbl>
      <w:tblPr>
        <w:tblStyle w:val="38"/>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5050"/>
        <w:gridCol w:w="1635"/>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lang w:eastAsia="zh-CN"/>
              </w:rPr>
            </w:pPr>
            <w:r>
              <w:rPr>
                <w:rFonts w:hint="eastAsia" w:ascii="华文仿宋" w:hAnsi="华文仿宋" w:eastAsia="华文仿宋" w:cs="华文仿宋"/>
                <w:b/>
                <w:bCs/>
                <w:sz w:val="21"/>
                <w:szCs w:val="21"/>
                <w:lang w:eastAsia="zh-CN"/>
              </w:rPr>
              <w:t>类别</w:t>
            </w:r>
          </w:p>
        </w:tc>
        <w:tc>
          <w:tcPr>
            <w:tcW w:w="505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名称</w:t>
            </w:r>
          </w:p>
        </w:tc>
        <w:tc>
          <w:tcPr>
            <w:tcW w:w="163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val="0"/>
                <w:iCs w:val="0"/>
                <w:sz w:val="20"/>
                <w:szCs w:val="20"/>
                <w:highlight w:val="none"/>
                <w:lang w:eastAsia="zh-CN"/>
              </w:rPr>
              <w:t>操作系统</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SUSE LINUX11 SP3、SP4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WIN</w:t>
            </w:r>
            <w:r>
              <w:rPr>
                <w:rFonts w:hint="eastAsia" w:ascii="华文仿宋" w:hAnsi="华文仿宋" w:eastAsia="华文仿宋" w:cs="华文仿宋"/>
                <w:sz w:val="20"/>
                <w:szCs w:val="20"/>
                <w:lang w:val="en-US" w:eastAsia="zh-CN"/>
              </w:rPr>
              <w:t xml:space="preserve">DOWS </w:t>
            </w:r>
            <w:r>
              <w:rPr>
                <w:rFonts w:hint="eastAsia" w:ascii="华文仿宋" w:hAnsi="华文仿宋" w:eastAsia="华文仿宋" w:cs="华文仿宋"/>
                <w:sz w:val="20"/>
                <w:szCs w:val="20"/>
                <w:lang w:val="zh-CN"/>
              </w:rPr>
              <w:t>SERVER 2008/2012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szCs w:val="20"/>
                <w:lang w:val="zh-CN"/>
              </w:rPr>
              <w:t xml:space="preserve">REDHAT </w:t>
            </w:r>
            <w:r>
              <w:rPr>
                <w:rFonts w:hint="eastAsia" w:ascii="华文仿宋" w:hAnsi="华文仿宋" w:eastAsia="华文仿宋" w:cs="华文仿宋"/>
                <w:sz w:val="20"/>
                <w:szCs w:val="20"/>
                <w:lang w:val="en-US" w:eastAsia="zh-CN"/>
              </w:rPr>
              <w:t>LINUX 5.4/</w:t>
            </w:r>
            <w:r>
              <w:rPr>
                <w:rFonts w:hint="eastAsia" w:ascii="华文仿宋" w:hAnsi="华文仿宋" w:eastAsia="华文仿宋" w:cs="华文仿宋"/>
                <w:sz w:val="20"/>
                <w:szCs w:val="20"/>
                <w:lang w:val="zh-CN"/>
              </w:rPr>
              <w:t>6.3/7.2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数据库</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en-US" w:eastAsia="zh-CN"/>
              </w:rPr>
              <w:t>OceanBase 2.2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szCs w:val="20"/>
                <w:lang w:val="zh-CN"/>
              </w:rPr>
              <w:t>DB2 10.1/10.5.7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中间件</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WAS 8.5.5.3/8.5.5.10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HTTPSERVER</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45"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CICS</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tabs>
          <w:tab w:val="clear" w:pos="360"/>
          <w:tab w:val="clear" w:pos="425"/>
        </w:tabs>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（2）我行支持硬件清单</w:t>
      </w:r>
    </w:p>
    <w:tbl>
      <w:tblPr>
        <w:tblStyle w:val="39"/>
        <w:tblpPr w:leftFromText="180" w:rightFromText="180" w:vertAnchor="text" w:horzAnchor="page" w:tblpX="2350" w:tblpY="303"/>
        <w:tblOverlap w:val="never"/>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硬件名称</w:t>
            </w:r>
          </w:p>
        </w:tc>
        <w:tc>
          <w:tcPr>
            <w:tcW w:w="3412" w:type="dxa"/>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基本配置</w:t>
            </w:r>
          </w:p>
        </w:tc>
        <w:tc>
          <w:tcPr>
            <w:tcW w:w="2175" w:type="dxa"/>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小型机</w:t>
            </w:r>
          </w:p>
        </w:tc>
        <w:tc>
          <w:tcPr>
            <w:tcW w:w="3412"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r>
              <w:rPr>
                <w:rFonts w:hint="eastAsia" w:ascii="华文仿宋" w:hAnsi="华文仿宋" w:eastAsia="华文仿宋" w:cs="华文仿宋"/>
                <w:b w:val="0"/>
                <w:bCs w:val="0"/>
                <w:sz w:val="18"/>
                <w:szCs w:val="18"/>
                <w:vertAlign w:val="baseline"/>
                <w:lang w:val="en-US" w:eastAsia="zh-CN"/>
              </w:rPr>
              <w:t>16C/128G/4*300GB/2*HBA卡/2*4口网卡</w:t>
            </w:r>
          </w:p>
        </w:tc>
        <w:tc>
          <w:tcPr>
            <w:tcW w:w="217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PCserver</w:t>
            </w:r>
          </w:p>
        </w:tc>
        <w:tc>
          <w:tcPr>
            <w:tcW w:w="3412"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r>
              <w:rPr>
                <w:rFonts w:hint="eastAsia" w:ascii="华文仿宋" w:hAnsi="华文仿宋" w:eastAsia="华文仿宋" w:cs="华文仿宋"/>
                <w:b w:val="0"/>
                <w:bCs w:val="0"/>
                <w:sz w:val="18"/>
                <w:szCs w:val="18"/>
                <w:vertAlign w:val="baseline"/>
                <w:lang w:val="zh-CN" w:eastAsia="zh-CN"/>
              </w:rPr>
              <w:t>2*E5-2630V4 8C/128GB(8*16GB)/4*600G SAS/Raid (0、1、5)</w:t>
            </w:r>
          </w:p>
        </w:tc>
        <w:tc>
          <w:tcPr>
            <w:tcW w:w="217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虚拟化设备</w:t>
            </w:r>
          </w:p>
        </w:tc>
        <w:tc>
          <w:tcPr>
            <w:tcW w:w="3412"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r>
              <w:rPr>
                <w:rFonts w:hint="eastAsia" w:ascii="华文仿宋" w:hAnsi="华文仿宋" w:eastAsia="华文仿宋" w:cs="华文仿宋"/>
                <w:b w:val="0"/>
                <w:bCs w:val="0"/>
                <w:sz w:val="18"/>
                <w:szCs w:val="18"/>
                <w:vertAlign w:val="baseline"/>
                <w:lang w:val="en-US" w:eastAsia="zh-CN"/>
              </w:rPr>
              <w:t>2C/8G/100G</w:t>
            </w:r>
          </w:p>
        </w:tc>
        <w:tc>
          <w:tcPr>
            <w:tcW w:w="2175" w:type="dxa"/>
            <w:vAlign w:val="top"/>
          </w:tcPr>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bl>
    <w:p>
      <w:pPr>
        <w:numPr>
          <w:ilvl w:val="0"/>
          <w:numId w:val="0"/>
        </w:numPr>
        <w:tabs>
          <w:tab w:val="clear" w:pos="360"/>
          <w:tab w:val="clear" w:pos="425"/>
        </w:tabs>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tabs>
          <w:tab w:val="clear" w:pos="360"/>
          <w:tab w:val="clear" w:pos="425"/>
        </w:tabs>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tabs>
          <w:tab w:val="clear" w:pos="360"/>
          <w:tab w:val="clear" w:pos="425"/>
        </w:tabs>
        <w:adjustRightInd w:val="0"/>
        <w:ind w:leftChars="270"/>
        <w:rPr>
          <w:rFonts w:hint="eastAsia" w:ascii="仿宋" w:hAnsi="仿宋" w:eastAsia="仿宋" w:cs="仿宋"/>
          <w:b w:val="0"/>
          <w:bCs w:val="0"/>
          <w:snapToGrid w:val="0"/>
          <w:color w:val="000000"/>
          <w:sz w:val="16"/>
          <w:szCs w:val="16"/>
          <w:highlight w:val="none"/>
          <w:lang w:val="en-US" w:eastAsia="zh-CN"/>
        </w:rPr>
      </w:pPr>
    </w:p>
    <w:p>
      <w:pPr>
        <w:pStyle w:val="4"/>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附件7：产品功能表</w:t>
      </w:r>
    </w:p>
    <w:tbl>
      <w:tblPr>
        <w:tblStyle w:val="39"/>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产品功能/应用/模块</w:t>
            </w:r>
          </w:p>
        </w:tc>
        <w:tc>
          <w:tcPr>
            <w:tcW w:w="3937"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对应需求点</w:t>
            </w:r>
            <w:r>
              <w:rPr>
                <w:rFonts w:hint="eastAsia" w:ascii="仿宋" w:hAnsi="仿宋" w:eastAsia="仿宋" w:cs="仿宋"/>
                <w:b/>
                <w:bCs/>
                <w:sz w:val="24"/>
                <w:szCs w:val="24"/>
                <w:highlight w:val="red"/>
                <w:vertAlign w:val="baseline"/>
                <w:lang w:val="en-US" w:eastAsia="zh-CN"/>
              </w:rPr>
              <w:t>（）</w:t>
            </w:r>
          </w:p>
        </w:tc>
        <w:tc>
          <w:tcPr>
            <w:tcW w:w="21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bl>
    <w:p>
      <w:pPr>
        <w:rPr>
          <w:rFonts w:hint="eastAsia" w:ascii="宋体" w:hAnsi="宋体"/>
          <w:sz w:val="28"/>
          <w:szCs w:val="28"/>
          <w:lang w:val="en-US" w:eastAsia="zh-CN"/>
        </w:rPr>
      </w:pPr>
    </w:p>
    <w:p>
      <w:pPr>
        <w:rPr>
          <w:rFonts w:hint="eastAsia" w:ascii="宋体" w:hAnsi="宋体"/>
          <w:sz w:val="28"/>
          <w:szCs w:val="28"/>
          <w:lang w:val="en-US" w:eastAsia="zh-CN"/>
        </w:rPr>
      </w:pPr>
    </w:p>
    <w:p>
      <w:pPr>
        <w:pStyle w:val="4"/>
        <w:spacing w:after="0" w:line="240" w:lineRule="auto"/>
        <w:jc w:val="left"/>
        <w:rPr>
          <w:rFonts w:hint="default" w:ascii="宋体" w:hAnsi="宋体" w:eastAsia="宋体"/>
          <w:b w:val="0"/>
          <w:sz w:val="28"/>
          <w:szCs w:val="28"/>
          <w:highlight w:val="yellow"/>
          <w:lang w:val="en-US"/>
        </w:rPr>
      </w:pPr>
      <w:r>
        <w:rPr>
          <w:rFonts w:hint="eastAsia" w:ascii="仿宋" w:hAnsi="仿宋" w:eastAsia="仿宋" w:cs="仿宋"/>
          <w:b w:val="0"/>
          <w:bCs w:val="0"/>
          <w:snapToGrid w:val="0"/>
          <w:color w:val="000000"/>
          <w:kern w:val="2"/>
          <w:sz w:val="28"/>
          <w:szCs w:val="28"/>
          <w:lang w:val="en-US" w:eastAsia="zh-CN" w:bidi="ar-SA"/>
        </w:rPr>
        <w:t>附件8：项目实施人员一览表、人员简历及社保证明(</w:t>
      </w:r>
      <w:r>
        <w:rPr>
          <w:rFonts w:hint="eastAsia" w:ascii="仿宋" w:hAnsi="仿宋" w:eastAsia="仿宋" w:cs="仿宋"/>
          <w:b w:val="0"/>
          <w:bCs w:val="0"/>
          <w:snapToGrid w:val="0"/>
          <w:color w:val="000000"/>
          <w:kern w:val="2"/>
          <w:sz w:val="28"/>
          <w:szCs w:val="28"/>
          <w:highlight w:val="red"/>
          <w:lang w:val="en-US" w:eastAsia="zh-CN" w:bidi="ar-SA"/>
        </w:rPr>
        <w:t>必须具备有测试经验的测试人员驻场</w:t>
      </w:r>
      <w:r>
        <w:rPr>
          <w:rFonts w:hint="eastAsia" w:ascii="仿宋" w:hAnsi="仿宋" w:eastAsia="仿宋" w:cs="仿宋"/>
          <w:b w:val="0"/>
          <w:bCs w:val="0"/>
          <w:snapToGrid w:val="0"/>
          <w:color w:val="000000"/>
          <w:kern w:val="2"/>
          <w:sz w:val="28"/>
          <w:szCs w:val="28"/>
          <w:lang w:val="en-US" w:eastAsia="zh-CN" w:bidi="ar-SA"/>
        </w:rPr>
        <w:t>)</w:t>
      </w: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项目实施人员一览表</w:t>
      </w:r>
    </w:p>
    <w:tbl>
      <w:tblPr>
        <w:tblStyle w:val="3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角色</w:t>
            </w:r>
          </w:p>
        </w:tc>
        <w:tc>
          <w:tcPr>
            <w:tcW w:w="109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84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公司职务</w:t>
            </w:r>
          </w:p>
        </w:tc>
        <w:tc>
          <w:tcPr>
            <w:tcW w:w="683"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工作年限</w:t>
            </w:r>
          </w:p>
        </w:tc>
        <w:tc>
          <w:tcPr>
            <w:tcW w:w="191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参与阶段/主要工作</w:t>
            </w:r>
          </w:p>
        </w:tc>
        <w:tc>
          <w:tcPr>
            <w:tcW w:w="136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进场时间</w:t>
            </w:r>
          </w:p>
        </w:tc>
        <w:tc>
          <w:tcPr>
            <w:tcW w:w="141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项目经理</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需求分析</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系统设计</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软件工程师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测试工程师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bl>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tabs>
          <w:tab w:val="left" w:pos="720"/>
        </w:tabs>
        <w:spacing w:line="300" w:lineRule="auto"/>
        <w:rPr>
          <w:rFonts w:hint="eastAsia" w:ascii="仿宋" w:hAnsi="仿宋" w:eastAsia="仿宋" w:cs="仿宋"/>
          <w:b/>
          <w:sz w:val="28"/>
          <w:szCs w:val="28"/>
        </w:rPr>
      </w:pPr>
    </w:p>
    <w:p>
      <w:pPr>
        <w:tabs>
          <w:tab w:val="left" w:pos="720"/>
        </w:tabs>
        <w:spacing w:line="300" w:lineRule="auto"/>
        <w:rPr>
          <w:rFonts w:hint="eastAsia" w:ascii="仿宋" w:hAnsi="仿宋" w:eastAsia="仿宋" w:cs="仿宋"/>
          <w:b/>
          <w:sz w:val="28"/>
          <w:szCs w:val="28"/>
        </w:rPr>
      </w:pP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lang w:eastAsia="zh-CN"/>
        </w:rPr>
        <w:t>项目成</w:t>
      </w:r>
      <w:r>
        <w:rPr>
          <w:rFonts w:hint="eastAsia" w:ascii="仿宋" w:hAnsi="仿宋" w:eastAsia="仿宋" w:cs="仿宋"/>
          <w:b/>
          <w:sz w:val="28"/>
          <w:szCs w:val="28"/>
        </w:rPr>
        <w:t>员简历</w:t>
      </w:r>
    </w:p>
    <w:tbl>
      <w:tblPr>
        <w:tblStyle w:val="38"/>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姓  名</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年  龄</w:t>
            </w:r>
          </w:p>
        </w:tc>
        <w:tc>
          <w:tcPr>
            <w:tcW w:w="2846" w:type="dxa"/>
            <w:gridSpan w:val="2"/>
            <w:shd w:val="clear" w:color="auto" w:fill="auto"/>
            <w:vAlign w:val="center"/>
          </w:tcPr>
          <w:p>
            <w:pPr>
              <w:snapToGrid w:val="0"/>
              <w:spacing w:line="288" w:lineRule="auto"/>
              <w:jc w:val="both"/>
              <w:rPr>
                <w:rFonts w:hint="eastAsia" w:ascii="仿宋" w:hAnsi="仿宋" w:eastAsia="仿宋" w:cs="仿宋"/>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毕业学校</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学  历</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专  业</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工作年限</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现所在部门</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职务/职称</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6887" w:type="dxa"/>
            <w:gridSpan w:val="5"/>
            <w:shd w:val="clear" w:color="auto" w:fill="auto"/>
            <w:vAlign w:val="center"/>
          </w:tcPr>
          <w:p>
            <w:pPr>
              <w:snapToGrid w:val="0"/>
              <w:spacing w:line="312" w:lineRule="auto"/>
              <w:jc w:val="both"/>
              <w:rPr>
                <w:rFonts w:hint="eastAsia" w:ascii="仿宋" w:hAnsi="仿宋" w:eastAsia="仿宋" w:cs="仿宋"/>
                <w:sz w:val="24"/>
                <w:szCs w:val="24"/>
              </w:rPr>
            </w:pPr>
            <w:r>
              <w:rPr>
                <w:rFonts w:hint="eastAsia" w:ascii="仿宋" w:hAnsi="仿宋" w:eastAsia="仿宋" w:cs="仿宋"/>
                <w:i w:val="0"/>
                <w:iCs w:val="0"/>
                <w:sz w:val="22"/>
                <w:szCs w:val="22"/>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专业资质&amp;认证</w:t>
            </w:r>
          </w:p>
        </w:tc>
        <w:tc>
          <w:tcPr>
            <w:tcW w:w="6887" w:type="dxa"/>
            <w:gridSpan w:val="5"/>
            <w:shd w:val="clear" w:color="auto" w:fill="auto"/>
            <w:vAlign w:val="center"/>
          </w:tcPr>
          <w:p>
            <w:pPr>
              <w:spacing w:line="360"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专业技能简介</w:t>
            </w:r>
          </w:p>
        </w:tc>
        <w:tc>
          <w:tcPr>
            <w:tcW w:w="6887" w:type="dxa"/>
            <w:gridSpan w:val="5"/>
            <w:shd w:val="clear" w:color="auto" w:fill="auto"/>
            <w:vAlign w:val="center"/>
          </w:tcPr>
          <w:p>
            <w:pPr>
              <w:jc w:val="both"/>
              <w:rPr>
                <w:rFonts w:hint="eastAsia" w:ascii="仿宋" w:hAnsi="仿宋" w:eastAsia="仿宋" w:cs="仿宋"/>
                <w:sz w:val="24"/>
                <w:szCs w:val="24"/>
              </w:rPr>
            </w:pPr>
            <w:r>
              <w:rPr>
                <w:rFonts w:hint="eastAsia" w:ascii="仿宋" w:hAnsi="仿宋" w:eastAsia="仿宋" w:cs="仿宋"/>
                <w:sz w:val="24"/>
                <w:szCs w:val="24"/>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工作经历(</w:t>
            </w:r>
            <w:r>
              <w:rPr>
                <w:rFonts w:hint="eastAsia" w:ascii="仿宋" w:hAnsi="仿宋" w:eastAsia="仿宋" w:cs="仿宋"/>
                <w:sz w:val="24"/>
                <w:szCs w:val="24"/>
                <w:highlight w:val="none"/>
                <w:lang w:eastAsia="zh-CN"/>
              </w:rPr>
              <w:t>所有</w:t>
            </w:r>
            <w:r>
              <w:rPr>
                <w:rFonts w:hint="eastAsia" w:ascii="仿宋" w:hAnsi="仿宋" w:eastAsia="仿宋" w:cs="仿宋"/>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范例：</w:t>
            </w:r>
          </w:p>
          <w:p>
            <w:pPr>
              <w:numPr>
                <w:ilvl w:val="0"/>
                <w:numId w:val="39"/>
              </w:numPr>
              <w:snapToGrid w:val="0"/>
              <w:spacing w:line="312" w:lineRule="auto"/>
              <w:ind w:left="357" w:hanging="357"/>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2008.7</w:t>
            </w:r>
            <w:r>
              <w:rPr>
                <w:rFonts w:hint="eastAsia" w:ascii="仿宋" w:hAnsi="仿宋" w:eastAsia="仿宋" w:cs="仿宋"/>
                <w:i w:val="0"/>
                <w:iCs w:val="0"/>
                <w:sz w:val="22"/>
                <w:szCs w:val="22"/>
                <w:highlight w:val="none"/>
                <w:lang w:eastAsia="zh-CN"/>
              </w:rPr>
              <w:t>至</w:t>
            </w:r>
            <w:r>
              <w:rPr>
                <w:rFonts w:hint="eastAsia" w:ascii="仿宋" w:hAnsi="仿宋" w:eastAsia="仿宋" w:cs="仿宋"/>
                <w:i w:val="0"/>
                <w:iCs w:val="0"/>
                <w:sz w:val="22"/>
                <w:szCs w:val="22"/>
                <w:highlight w:val="none"/>
              </w:rPr>
              <w:t>今, xxxxx公司，xxx职务/岗位 (时间倒序)</w:t>
            </w:r>
          </w:p>
          <w:p>
            <w:pPr>
              <w:numPr>
                <w:ilvl w:val="0"/>
                <w:numId w:val="39"/>
              </w:numPr>
              <w:snapToGrid w:val="0"/>
              <w:spacing w:line="312" w:lineRule="auto"/>
              <w:ind w:left="357" w:hanging="357"/>
              <w:jc w:val="both"/>
              <w:rPr>
                <w:rFonts w:hint="eastAsia" w:ascii="仿宋" w:hAnsi="仿宋" w:eastAsia="仿宋" w:cs="仿宋"/>
                <w:sz w:val="24"/>
                <w:szCs w:val="24"/>
                <w:highlight w:val="none"/>
              </w:rPr>
            </w:pPr>
            <w:r>
              <w:rPr>
                <w:rFonts w:hint="eastAsia" w:ascii="仿宋" w:hAnsi="仿宋" w:eastAsia="仿宋" w:cs="仿宋"/>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参加起/止日期</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近3年参加的类似项目名称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范例：2009.5 ～2010.9</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xxx客户xxxx项目名称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咨询顾问</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p>
    <w:p>
      <w:pPr>
        <w:rPr>
          <w:rFonts w:hint="eastAsia" w:ascii="仿宋" w:hAnsi="仿宋" w:eastAsia="仿宋" w:cs="仿宋"/>
          <w:sz w:val="28"/>
          <w:szCs w:val="28"/>
        </w:rPr>
      </w:pPr>
    </w:p>
    <w:p>
      <w:pPr>
        <w:rPr>
          <w:rFonts w:ascii="宋体" w:hAnsi="宋体"/>
          <w:sz w:val="28"/>
          <w:szCs w:val="28"/>
        </w:rPr>
      </w:pPr>
    </w:p>
    <w:p>
      <w:pPr>
        <w:pStyle w:val="4"/>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eastAsia="zh-CN"/>
        </w:rPr>
        <w:t>附件</w:t>
      </w:r>
      <w:r>
        <w:rPr>
          <w:rFonts w:hint="eastAsia" w:ascii="仿宋" w:hAnsi="仿宋" w:eastAsia="仿宋" w:cs="仿宋"/>
          <w:b w:val="0"/>
          <w:sz w:val="28"/>
          <w:szCs w:val="28"/>
          <w:lang w:val="en-US" w:eastAsia="zh-CN"/>
        </w:rPr>
        <w:t>9：科技系统技术标准概要事项</w:t>
      </w:r>
    </w:p>
    <w:tbl>
      <w:tblPr>
        <w:tblStyle w:val="38"/>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ESB通讯标准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所有通讯接口按招标方ESB标准接入ESB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系统涉及回单必须对接招标方统一回单应用</w:t>
            </w: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宋体" w:hAnsi="宋体"/>
          <w:sz w:val="24"/>
          <w:szCs w:val="24"/>
          <w:lang w:val="en-US" w:eastAsia="zh-CN"/>
        </w:rPr>
      </w:pPr>
      <w:r>
        <w:rPr>
          <w:rFonts w:hint="eastAsia" w:ascii="仿宋" w:hAnsi="仿宋" w:eastAsia="仿宋" w:cs="仿宋"/>
          <w:sz w:val="28"/>
          <w:szCs w:val="28"/>
        </w:rPr>
        <w:t>日    期：</w:t>
      </w:r>
    </w:p>
    <w:p>
      <w:pPr>
        <w:pStyle w:val="4"/>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附件10：投标人资格证明与案例情况（近三年，需附证明文件）</w:t>
      </w:r>
    </w:p>
    <w:p>
      <w:pPr>
        <w:numPr>
          <w:ilvl w:val="0"/>
          <w:numId w:val="40"/>
        </w:num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投标人资格证明文件（营业执照等相关文件复印件）</w:t>
      </w:r>
    </w:p>
    <w:p>
      <w:pPr>
        <w:keepNext w:val="0"/>
        <w:keepLines w:val="0"/>
        <w:pageBreakBefore w:val="0"/>
        <w:widowControl w:val="0"/>
        <w:numPr>
          <w:ilvl w:val="0"/>
          <w:numId w:val="0"/>
        </w:numPr>
        <w:tabs>
          <w:tab w:val="clear" w:pos="360"/>
          <w:tab w:val="clear" w:pos="425"/>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注：复印件作为附页。</w:t>
      </w:r>
    </w:p>
    <w:p>
      <w:p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二、案例情况说明</w:t>
      </w:r>
    </w:p>
    <w:tbl>
      <w:tblPr>
        <w:tblStyle w:val="39"/>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合作方式</w:t>
            </w:r>
          </w:p>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bl>
    <w:p>
      <w:pPr>
        <w:rPr>
          <w:rFonts w:hint="eastAsia" w:ascii="微软雅黑" w:hAnsi="微软雅黑" w:eastAsia="微软雅黑" w:cs="微软雅黑"/>
          <w:b w:val="0"/>
          <w:i w:val="0"/>
          <w:caps w:val="0"/>
          <w:color w:val="000000"/>
          <w:spacing w:val="0"/>
          <w:sz w:val="21"/>
          <w:szCs w:val="21"/>
          <w:highlight w:val="red"/>
          <w:shd w:val="clear" w:fill="FFFFFF"/>
          <w:lang w:val="en-US" w:eastAsia="zh-CN"/>
        </w:rPr>
      </w:pPr>
      <w:r>
        <w:rPr>
          <w:rFonts w:hint="eastAsia" w:ascii="微软雅黑" w:hAnsi="微软雅黑" w:eastAsia="微软雅黑" w:cs="微软雅黑"/>
          <w:b w:val="0"/>
          <w:i w:val="0"/>
          <w:caps w:val="0"/>
          <w:color w:val="000000"/>
          <w:spacing w:val="0"/>
          <w:sz w:val="21"/>
          <w:szCs w:val="21"/>
          <w:highlight w:val="red"/>
          <w:shd w:val="clear" w:fill="FFFFFF"/>
          <w:lang w:val="en-US" w:eastAsia="zh-CN"/>
        </w:rPr>
        <w:t>真实性，承诺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ascii="宋体" w:hAnsi="宋体"/>
          <w:sz w:val="28"/>
          <w:szCs w:val="28"/>
        </w:rPr>
      </w:pPr>
      <w:r>
        <w:rPr>
          <w:rFonts w:hint="eastAsia" w:ascii="仿宋" w:hAnsi="仿宋" w:eastAsia="仿宋" w:cs="仿宋"/>
          <w:sz w:val="28"/>
          <w:szCs w:val="28"/>
        </w:rPr>
        <w:t>日    期：</w:t>
      </w:r>
    </w:p>
    <w:p>
      <w:pPr>
        <w:rPr>
          <w:rFonts w:hint="eastAsia" w:ascii="微软雅黑" w:hAnsi="微软雅黑" w:eastAsia="微软雅黑" w:cs="微软雅黑"/>
          <w:b w:val="0"/>
          <w:i w:val="0"/>
          <w:caps w:val="0"/>
          <w:color w:val="000000"/>
          <w:spacing w:val="0"/>
          <w:sz w:val="21"/>
          <w:szCs w:val="21"/>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modern"/>
    <w:pitch w:val="default"/>
    <w:sig w:usb0="A00002EF" w:usb1="4000207B" w:usb2="00000000" w:usb3="00000000" w:csb0="2000019F" w:csb1="00000000"/>
  </w:font>
  <w:font w:name="BIAODIAN">
    <w:altName w:val="Times New Roman"/>
    <w:panose1 w:val="00000000000000000000"/>
    <w:charset w:val="00"/>
    <w:family w:val="decorative"/>
    <w:pitch w:val="default"/>
    <w:sig w:usb0="00000000" w:usb1="00000000" w:usb2="00000000" w:usb3="00000000" w:csb0="00000001" w:csb1="00000000"/>
  </w:font>
  <w:font w:name="彩虹粗仿宋">
    <w:altName w:val="宋体"/>
    <w:panose1 w:val="00000000000000000000"/>
    <w:charset w:val="86"/>
    <w:family w:val="roman"/>
    <w:pitch w:val="default"/>
    <w:sig w:usb0="00000000" w:usb1="00000000" w:usb2="00000010" w:usb3="00000000" w:csb0="00040000" w:csb1="00000000"/>
  </w:font>
  <w:font w:name="PMingLiU">
    <w:panose1 w:val="02020500000000000000"/>
    <w:charset w:val="88"/>
    <w:family w:val="decorative"/>
    <w:pitch w:val="default"/>
    <w:sig w:usb0="A00002FF" w:usb1="28CFFCFA" w:usb2="00000016" w:usb3="00000000" w:csb0="00100001" w:csb1="00000000"/>
  </w:font>
  <w:font w:name="Microsoft JhengHei">
    <w:panose1 w:val="020B0604030504040204"/>
    <w:charset w:val="88"/>
    <w:family w:val="modern"/>
    <w:pitch w:val="default"/>
    <w:sig w:usb0="00000087" w:usb1="28AF4000" w:usb2="00000016" w:usb3="00000000" w:csb0="00100009" w:csb1="00000000"/>
  </w:font>
  <w:font w:name="Wingdings">
    <w:panose1 w:val="05000000000000000000"/>
    <w:charset w:val="00"/>
    <w:family w:val="auto"/>
    <w:pitch w:val="default"/>
    <w:sig w:usb0="00000000" w:usb1="00000000" w:usb2="00000000" w:usb3="00000000" w:csb0="80000000" w:csb1="00000000"/>
  </w:font>
  <w:font w:name="微软简仿宋">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等线">
    <w:panose1 w:val="02010600030101010101"/>
    <w:charset w:val="86"/>
    <w:family w:val="decorative"/>
    <w:pitch w:val="default"/>
    <w:sig w:usb0="A00002BF" w:usb1="38CF7CFA" w:usb2="00000016" w:usb3="00000000" w:csb0="0004000F" w:csb1="00000000"/>
  </w:font>
  <w:font w:name="等线 Light">
    <w:panose1 w:val="02010600030101010101"/>
    <w:charset w:val="86"/>
    <w:family w:val="decorative"/>
    <w:pitch w:val="default"/>
    <w:sig w:usb0="A00002BF" w:usb1="38CF7CFA" w:usb2="00000016" w:usb3="00000000" w:csb0="0004000F" w:csb1="00000000"/>
  </w:font>
  <w:font w:name="Comic Sans MS">
    <w:panose1 w:val="030F0702030302020204"/>
    <w:charset w:val="00"/>
    <w:family w:val="script"/>
    <w:pitch w:val="default"/>
    <w:sig w:usb0="00000287" w:usb1="00000000" w:usb2="00000000" w:usb3="00000000" w:csb0="2000009F" w:csb1="00000000"/>
  </w:font>
  <w:font w:name="Arial Black">
    <w:panose1 w:val="020B0A04020102020204"/>
    <w:charset w:val="00"/>
    <w:family w:val="modern"/>
    <w:pitch w:val="default"/>
    <w:sig w:usb0="00000287" w:usb1="00000000" w:usb2="00000000" w:usb3="00000000" w:csb0="2000009F" w:csb1="DFD70000"/>
  </w:font>
  <w:font w:name="Garamond">
    <w:altName w:val="PMingLiU-ExtB"/>
    <w:panose1 w:val="02020404030301010803"/>
    <w:charset w:val="00"/>
    <w:family w:val="decorative"/>
    <w:pitch w:val="default"/>
    <w:sig w:usb0="00000000" w:usb1="00000000" w:usb2="00000000" w:usb3="00000000" w:csb0="0000009F" w:csb1="DFD70000"/>
  </w:font>
  <w:font w:name="幼圆">
    <w:panose1 w:val="02010509060101010101"/>
    <w:charset w:val="86"/>
    <w:family w:val="roman"/>
    <w:pitch w:val="default"/>
    <w:sig w:usb0="00000001" w:usb1="080E0000" w:usb2="00000000" w:usb3="00000000" w:csb0="00040000" w:csb1="00000000"/>
  </w:font>
  <w:font w:name="宋体常规">
    <w:altName w:val="宋体"/>
    <w:panose1 w:val="00000000000000000000"/>
    <w:charset w:val="86"/>
    <w:family w:val="decorative"/>
    <w:pitch w:val="default"/>
    <w:sig w:usb0="00000000" w:usb1="00000000" w:usb2="00000010" w:usb3="00000000" w:csb0="00040000" w:csb1="00000000"/>
  </w:font>
  <w:font w:name="Courier">
    <w:altName w:val="Courier New"/>
    <w:panose1 w:val="02070409020205020404"/>
    <w:charset w:val="00"/>
    <w:family w:val="roman"/>
    <w:pitch w:val="default"/>
    <w:sig w:usb0="00000000" w:usb1="00000000" w:usb2="00000000" w:usb3="00000000" w:csb0="00000001" w:csb1="00000000"/>
  </w:font>
  <w:font w:name="隶书">
    <w:panose1 w:val="02010509060101010101"/>
    <w:charset w:val="86"/>
    <w:family w:val="roman"/>
    <w:pitch w:val="default"/>
    <w:sig w:usb0="00000001" w:usb1="080E0000" w:usb2="00000000" w:usb3="00000000" w:csb0="00040000" w:csb1="00000000"/>
  </w:font>
  <w:font w:name="Book Antiqua">
    <w:panose1 w:val="02040602050305030304"/>
    <w:charset w:val="00"/>
    <w:family w:val="decorative"/>
    <w:pitch w:val="default"/>
    <w:sig w:usb0="00000287" w:usb1="00000000" w:usb2="00000000" w:usb3="00000000" w:csb0="2000009F" w:csb1="DFD70000"/>
  </w:font>
  <w:font w:name="Arial,Bold">
    <w:altName w:val="Arial"/>
    <w:panose1 w:val="00000000000000000000"/>
    <w:charset w:val="00"/>
    <w:family w:val="modern"/>
    <w:pitch w:val="default"/>
    <w:sig w:usb0="00000000" w:usb1="00000000" w:usb2="00000000" w:usb3="00000000" w:csb0="00000001" w:csb1="00000000"/>
  </w:font>
  <w:font w:name="Times">
    <w:altName w:val="Times New Roman"/>
    <w:panose1 w:val="02020603050405020304"/>
    <w:charset w:val="00"/>
    <w:family w:val="decorative"/>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Yu Mincho">
    <w:altName w:val="MS PMincho"/>
    <w:panose1 w:val="02020400000000000000"/>
    <w:charset w:val="80"/>
    <w:family w:val="auto"/>
    <w:pitch w:val="default"/>
    <w:sig w:usb0="00000000" w:usb1="00000000" w:usb2="00000012" w:usb3="00000000" w:csb0="2002009F" w:csb1="00000000"/>
  </w:font>
  <w:font w:name="Futura Bk">
    <w:altName w:val="Trebuchet MS"/>
    <w:panose1 w:val="00000000000000000000"/>
    <w:charset w:val="00"/>
    <w:family w:val="auto"/>
    <w:pitch w:val="default"/>
    <w:sig w:usb0="00000000" w:usb1="00000000" w:usb2="00000000" w:usb3="00000000" w:csb0="0000009F" w:csb1="00000000"/>
  </w:font>
  <w:font w:name="彩虹楷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rebuchet MS">
    <w:panose1 w:val="020B0603020202020204"/>
    <w:charset w:val="00"/>
    <w:family w:val="auto"/>
    <w:pitch w:val="default"/>
    <w:sig w:usb0="00000287" w:usb1="00000000" w:usb2="00000000" w:usb3="00000000" w:csb0="2000009F" w:csb1="00000000"/>
  </w:font>
  <w:font w:name="MicrosoftYaHei">
    <w:altName w:val="宋体"/>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S PMincho">
    <w:panose1 w:val="02020600040205080304"/>
    <w:charset w:val="80"/>
    <w:family w:val="auto"/>
    <w:pitch w:val="default"/>
    <w:sig w:usb0="E00002FF" w:usb1="6AC7FDFB" w:usb2="00000012" w:usb3="00000000" w:csb0="4002009F" w:csb1="DFD70000"/>
  </w:font>
  <w:font w:name="Lucida Grande">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modern"/>
    <w:pitch w:val="default"/>
    <w:sig w:usb0="00000000" w:usb1="00000000" w:usb2="00000009" w:usb3="00000000" w:csb0="000001FF" w:csb1="00000000"/>
  </w:font>
  <w:font w:name="ˎ̥">
    <w:altName w:val="Times New Roman"/>
    <w:panose1 w:val="00000000000000000000"/>
    <w:charset w:val="00"/>
    <w:family w:val="decorative"/>
    <w:pitch w:val="default"/>
    <w:sig w:usb0="00000000" w:usb1="00000000" w:usb2="00000000" w:usb3="00000000" w:csb0="00040001" w:csb1="00000000"/>
  </w:font>
  <w:font w:name="Kaiti SC Black">
    <w:altName w:val="微软雅黑"/>
    <w:panose1 w:val="00000000000000000000"/>
    <w:charset w:val="00"/>
    <w:family w:val="auto"/>
    <w:pitch w:val="default"/>
    <w:sig w:usb0="00000000" w:usb1="00000000" w:usb2="00000000" w:usb3="00000000" w:csb0="00040001" w:csb1="00000000"/>
  </w:font>
  <w:font w:name="Songti SC Regular">
    <w:altName w:val="微软雅黑"/>
    <w:panose1 w:val="00000000000000000000"/>
    <w:charset w:val="50"/>
    <w:family w:val="auto"/>
    <w:pitch w:val="default"/>
    <w:sig w:usb0="00000000" w:usb1="00000000" w:usb2="00000010" w:usb3="00000000" w:csb0="0004009F"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3C0041" w:csb1="00000000"/>
  </w:font>
  <w:font w:name="方正黑体_GBK">
    <w:altName w:val="微软雅黑"/>
    <w:panose1 w:val="03000509000000000000"/>
    <w:charset w:val="86"/>
    <w:family w:val="script"/>
    <w:pitch w:val="default"/>
    <w:sig w:usb0="00000000" w:usb1="00000000" w:usb2="00000010" w:usb3="00000000" w:csb0="003C0041" w:csb1="00000000"/>
  </w:font>
  <w:font w:name="方正楷体_GBK">
    <w:altName w:val="微软雅黑"/>
    <w:panose1 w:val="03000509000000000000"/>
    <w:charset w:val="86"/>
    <w:family w:val="script"/>
    <w:pitch w:val="default"/>
    <w:sig w:usb0="00000000" w:usb1="00000000" w:usb2="00000010" w:usb3="00000000" w:csb0="003C0041" w:csb1="00000000"/>
  </w:font>
  <w:font w:name="方正仿宋_GBK">
    <w:altName w:val="微软雅黑"/>
    <w:panose1 w:val="00000000000000000000"/>
    <w:charset w:val="00"/>
    <w:family w:val="auto"/>
    <w:pitch w:val="default"/>
    <w:sig w:usb0="00000000" w:usb1="00000000" w:usb2="00000000" w:usb3="00000000" w:csb0="00000000" w:csb1="00000000"/>
  </w:font>
  <w:font w:name="Batang">
    <w:panose1 w:val="02030600000101010101"/>
    <w:charset w:val="81"/>
    <w:family w:val="swiss"/>
    <w:pitch w:val="default"/>
    <w:sig w:usb0="B00002AF" w:usb1="69D77CFB" w:usb2="00000030" w:usb3="00000000" w:csb0="4008009F" w:csb1="DFD70000"/>
  </w:font>
  <w:font w:name="MS Mincho">
    <w:panose1 w:val="02020609040205080304"/>
    <w:charset w:val="80"/>
    <w:family w:val="decorative"/>
    <w:pitch w:val="default"/>
    <w:sig w:usb0="E00002FF" w:usb1="6AC7FDFB" w:usb2="00000012" w:usb3="00000000" w:csb0="4002009F" w:csb1="DFD70000"/>
  </w:font>
  <w:font w:name="华文宋体">
    <w:panose1 w:val="02010600040101010101"/>
    <w:charset w:val="86"/>
    <w:family w:val="auto"/>
    <w:pitch w:val="default"/>
    <w:sig w:usb0="00000287" w:usb1="080F0000" w:usb2="00000000" w:usb3="00000000" w:csb0="0004009F" w:csb1="DFD70000"/>
  </w:font>
  <w:font w:name="创艺简黑体">
    <w:altName w:val="黑体"/>
    <w:panose1 w:val="00000000000000000000"/>
    <w:charset w:val="86"/>
    <w:family w:val="auto"/>
    <w:pitch w:val="default"/>
    <w:sig w:usb0="00000000" w:usb1="00000000" w:usb2="00000010" w:usb3="00000000" w:csb0="0004000A" w:csb1="00000000"/>
  </w:font>
  <w:font w:name="Consolas">
    <w:panose1 w:val="020B0609020204030204"/>
    <w:charset w:val="00"/>
    <w:family w:val="modern"/>
    <w:pitch w:val="default"/>
    <w:sig w:usb0="E10002FF" w:usb1="4000FCFF" w:usb2="00000009" w:usb3="00000000" w:csb0="6000019F" w:csb1="DFD7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Arial Unicode MS">
    <w:altName w:val="Arial"/>
    <w:panose1 w:val="020B0604020202020204"/>
    <w:charset w:val="80"/>
    <w:family w:val="decorative"/>
    <w:pitch w:val="default"/>
    <w:sig w:usb0="00000000" w:usb1="00000000" w:usb2="0000003F" w:usb3="00000000" w:csb0="603F01FF" w:csb1="FFFF0000"/>
  </w:font>
  <w:font w:name="Latha">
    <w:panose1 w:val="020B0604020202020204"/>
    <w:charset w:val="00"/>
    <w:family w:val="auto"/>
    <w:pitch w:val="default"/>
    <w:sig w:usb0="001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Century Gothic">
    <w:panose1 w:val="020B0502020202020204"/>
    <w:charset w:val="00"/>
    <w:family w:val="auto"/>
    <w:pitch w:val="default"/>
    <w:sig w:usb0="00000287" w:usb1="00000000" w:usb2="00000000" w:usb3="00000000" w:csb0="2000009F" w:csb1="DFD70000"/>
  </w:font>
  <w:font w:name="EYInterstate Light">
    <w:altName w:val="Segoe Print"/>
    <w:panose1 w:val="00000000000000000000"/>
    <w:charset w:val="00"/>
    <w:family w:val="auto"/>
    <w:pitch w:val="default"/>
    <w:sig w:usb0="00000000" w:usb1="00000000" w:usb2="00000000" w:usb3="00000000" w:csb0="0000009F" w:csb1="00000000"/>
  </w:font>
  <w:font w:name="EYInterstate Regular">
    <w:altName w:val="Latha"/>
    <w:panose1 w:val="00000000000000000000"/>
    <w:charset w:val="00"/>
    <w:family w:val="auto"/>
    <w:pitch w:val="default"/>
    <w:sig w:usb0="00000000" w:usb1="00000000" w:usb2="00000000" w:usb3="00000000" w:csb0="0000009F" w:csb1="00000000"/>
  </w:font>
  <w:font w:name="GulimChe">
    <w:panose1 w:val="020B0609000101010101"/>
    <w:charset w:val="81"/>
    <w:family w:val="modern"/>
    <w:pitch w:val="default"/>
    <w:sig w:usb0="B00002AF" w:usb1="69D77CFB" w:usb2="00000030" w:usb3="00000000" w:csb0="4008009F" w:csb1="DFD70000"/>
  </w:font>
  <w:font w:name="Dotum">
    <w:panose1 w:val="020B0600000101010101"/>
    <w:charset w:val="81"/>
    <w:family w:val="modern"/>
    <w:pitch w:val="default"/>
    <w:sig w:usb0="B00002AF" w:usb1="69D77CFB" w:usb2="00000030" w:usb3="00000000" w:csb0="4008009F" w:csb1="DFD70000"/>
  </w:font>
  <w:font w:name="Zapf Elliptical 71 1 BT">
    <w:altName w:val="宋体"/>
    <w:panose1 w:val="00000000000000000000"/>
    <w:charset w:val="86"/>
    <w:family w:val="decorative"/>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Univers 45 Light">
    <w:altName w:val="Arial"/>
    <w:panose1 w:val="00000000000000000000"/>
    <w:charset w:val="00"/>
    <w:family w:val="modern"/>
    <w:pitch w:val="default"/>
    <w:sig w:usb0="00000000" w:usb1="00000000" w:usb2="00000000" w:usb3="00000000" w:csb0="00000001" w:csb1="00000000"/>
  </w:font>
  <w:font w:name="LotusLineDraw">
    <w:altName w:val="Arial"/>
    <w:panose1 w:val="00000000000000000000"/>
    <w:charset w:val="00"/>
    <w:family w:val="modern"/>
    <w:pitch w:val="default"/>
    <w:sig w:usb0="00000000" w:usb1="00000000" w:usb2="00000000" w:usb3="00000000" w:csb0="00000001" w:csb1="00000000"/>
  </w:font>
  <w:font w:name="Cordia New">
    <w:panose1 w:val="020B0304020202020204"/>
    <w:charset w:val="00"/>
    <w:family w:val="modern"/>
    <w:pitch w:val="default"/>
    <w:sig w:usb0="81000003" w:usb1="00000000" w:usb2="00000000" w:usb3="00000000" w:csb0="00010001" w:csb1="00000000"/>
  </w:font>
  <w:font w:name="Tms Rmn">
    <w:altName w:val="Times New Roman"/>
    <w:panose1 w:val="00000000000000000000"/>
    <w:charset w:val="4D"/>
    <w:family w:val="decorative"/>
    <w:pitch w:val="default"/>
    <w:sig w:usb0="00000000" w:usb1="00000000" w:usb2="00000000" w:usb3="00000000" w:csb0="00000001" w:csb1="00000000"/>
  </w:font>
  <w:font w:name="Microsoft Sans Serif">
    <w:panose1 w:val="020B0604020202020204"/>
    <w:charset w:val="00"/>
    <w:family w:val="modern"/>
    <w:pitch w:val="default"/>
    <w:sig w:usb0="E1002AFF" w:usb1="C0000002" w:usb2="00000008" w:usb3="00000000" w:csb0="200101FF" w:csb1="20280000"/>
  </w:font>
  <w:font w:name="Angsana New">
    <w:panose1 w:val="02020603050405020304"/>
    <w:charset w:val="00"/>
    <w:family w:val="decorative"/>
    <w:pitch w:val="default"/>
    <w:sig w:usb0="81000003" w:usb1="00000000" w:usb2="00000000" w:usb3="00000000" w:csb0="00010001" w:csb1="00000000"/>
  </w:font>
  <w:font w:name="MingLiU">
    <w:panose1 w:val="02020509000000000000"/>
    <w:charset w:val="88"/>
    <w:family w:val="decorative"/>
    <w:pitch w:val="default"/>
    <w:sig w:usb0="A00002FF" w:usb1="28CFFCFA" w:usb2="00000016" w:usb3="00000000" w:csb0="00100001" w:csb1="00000000"/>
  </w:font>
  <w:font w:name="Arial Narrow">
    <w:altName w:val="Arial"/>
    <w:panose1 w:val="020B0606020202030204"/>
    <w:charset w:val="00"/>
    <w:family w:val="modern"/>
    <w:pitch w:val="default"/>
    <w:sig w:usb0="00000000" w:usb1="00000000" w:usb2="00000000" w:usb3="00000000" w:csb0="2000009F" w:csb1="DFD70000"/>
  </w:font>
  <w:font w:name="华文行楷">
    <w:panose1 w:val="02010800040101010101"/>
    <w:charset w:val="86"/>
    <w:family w:val="auto"/>
    <w:pitch w:val="default"/>
    <w:sig w:usb0="00000001" w:usb1="080F0000" w:usb2="00000000" w:usb3="00000000" w:csb0="00040000" w:csb1="00000000"/>
  </w:font>
  <w:font w:name="EYInterstate">
    <w:altName w:val="Latha"/>
    <w:panose1 w:val="00000000000000000000"/>
    <w:charset w:val="00"/>
    <w:family w:val="auto"/>
    <w:pitch w:val="default"/>
    <w:sig w:usb0="00000000" w:usb1="00000000" w:usb2="00000000" w:usb3="00000000" w:csb0="0000009F" w:csb1="00000000"/>
  </w:font>
  <w:font w:name=".Apple Color Emoji UI">
    <w:altName w:val="MS Mincho"/>
    <w:panose1 w:val="00000000000000000000"/>
    <w:charset w:val="00"/>
    <w:family w:val="auto"/>
    <w:pitch w:val="default"/>
    <w:sig w:usb0="00000000" w:usb1="00000000" w:usb2="14000000" w:usb3="00000000" w:csb0="00000001" w:csb1="00000000"/>
  </w:font>
  <w:font w:name="PingFang SC Regular">
    <w:altName w:val="微软雅黑"/>
    <w:panose1 w:val="00000000000000000000"/>
    <w:charset w:val="50"/>
    <w:family w:val="auto"/>
    <w:pitch w:val="default"/>
    <w:sig w:usb0="00000000" w:usb1="00000000" w:usb2="00000016" w:usb3="00000000" w:csb0="00140001" w:csb1="00000000"/>
  </w:font>
  <w:font w:name="宋体-方正超大字符集">
    <w:altName w:val="宋体"/>
    <w:panose1 w:val="00000000000000000000"/>
    <w:charset w:val="86"/>
    <w:family w:val="script"/>
    <w:pitch w:val="default"/>
    <w:sig w:usb0="00000000" w:usb1="00000000" w:usb2="00000010" w:usb3="00000000" w:csb0="00040000" w:csb1="00000000"/>
  </w:font>
  <w:font w:name="Segoe UI Symbol">
    <w:panose1 w:val="020B0502040204020203"/>
    <w:charset w:val="00"/>
    <w:family w:val="modern"/>
    <w:pitch w:val="default"/>
    <w:sig w:usb0="8000006F" w:usb1="1200FBEF" w:usb2="0064C000" w:usb3="00000002" w:csb0="00000001" w:csb1="40000000"/>
  </w:font>
  <w:font w:name="Symbol">
    <w:panose1 w:val="05050102010706020507"/>
    <w:charset w:val="00"/>
    <w:family w:val="auto"/>
    <w:pitch w:val="default"/>
    <w:sig w:usb0="00000000" w:usb1="00000000" w:usb2="00000000" w:usb3="00000000" w:csb0="80000000" w:csb1="00000000"/>
  </w:font>
  <w:font w:name="Century">
    <w:panose1 w:val="02040604050505020304"/>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Arial">
    <w:panose1 w:val="020B0604020202020204"/>
    <w:charset w:val="80"/>
    <w:family w:val="decorative"/>
    <w:pitch w:val="default"/>
    <w:sig w:usb0="E0002AFF" w:usb1="C0007843" w:usb2="00000009" w:usb3="00000000" w:csb0="400001FF" w:csb1="FFFF0000"/>
  </w:font>
  <w:font w:name="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Unicode MS">
    <w:altName w:val="宋体"/>
    <w:panose1 w:val="020B0604020202020204"/>
    <w:charset w:val="86"/>
    <w:family w:val="decorative"/>
    <w:pitch w:val="default"/>
    <w:sig w:usb0="00000000" w:usb1="00000000" w:usb2="0000003F" w:usb3="00000000" w:csb0="603F01FF" w:csb1="FFFF0000"/>
  </w:font>
  <w:font w:name="Verdana">
    <w:panose1 w:val="020B0604030504040204"/>
    <w:charset w:val="00"/>
    <w:family w:val="decorative"/>
    <w:pitch w:val="default"/>
    <w:sig w:usb0="A10006FF" w:usb1="4000205B" w:usb2="00000010" w:usb3="00000000" w:csb0="2000019F" w:csb1="00000000"/>
  </w:font>
  <w:font w:name="Tahoma">
    <w:panose1 w:val="020B0604030504040204"/>
    <w:charset w:val="00"/>
    <w:family w:val="decorative"/>
    <w:pitch w:val="default"/>
    <w:sig w:usb0="E1002EFF" w:usb1="C000605B" w:usb2="00000029" w:usb3="00000000" w:csb0="200101FF" w:csb1="2028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BIAODIAN">
    <w:altName w:val="Times New Roman"/>
    <w:panose1 w:val="00000000000000000000"/>
    <w:charset w:val="00"/>
    <w:family w:val="roman"/>
    <w:pitch w:val="default"/>
    <w:sig w:usb0="00000000" w:usb1="00000000" w:usb2="00000000" w:usb3="00000000" w:csb0="00000001" w:csb1="00000000"/>
  </w:font>
  <w:font w:name="彩虹粗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Cambria Math">
    <w:panose1 w:val="02040503050406030204"/>
    <w:charset w:val="00"/>
    <w:family w:val="modern"/>
    <w:pitch w:val="default"/>
    <w:sig w:usb0="E00002FF" w:usb1="42002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Garamond">
    <w:altName w:val="PMingLiU-ExtB"/>
    <w:panose1 w:val="02020404030301010803"/>
    <w:charset w:val="00"/>
    <w:family w:val="roman"/>
    <w:pitch w:val="default"/>
    <w:sig w:usb0="00000000"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宋体常规">
    <w:altName w:val="宋体"/>
    <w:panose1 w:val="00000000000000000000"/>
    <w:charset w:val="86"/>
    <w:family w:val="roman"/>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Arial,Bold">
    <w:altName w:val="Arial"/>
    <w:panose1 w:val="00000000000000000000"/>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Batang">
    <w:panose1 w:val="02030600000101010101"/>
    <w:charset w:val="81"/>
    <w:family w:val="decorative"/>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Consolas">
    <w:panose1 w:val="020B0609020204030204"/>
    <w:charset w:val="00"/>
    <w:family w:val="swiss"/>
    <w:pitch w:val="default"/>
    <w:sig w:usb0="E10002FF" w:usb1="4000FCFF" w:usb2="00000009" w:usb3="00000000" w:csb0="6000019F" w:csb1="DFD70000"/>
  </w:font>
  <w:font w:name="等线">
    <w:panose1 w:val="02010600030101010101"/>
    <w:charset w:val="86"/>
    <w:family w:val="modern"/>
    <w:pitch w:val="default"/>
    <w:sig w:usb0="A00002BF" w:usb1="38CF7CFA" w:usb2="00000016" w:usb3="00000000" w:csb0="0004000F" w:csb1="00000000"/>
  </w:font>
  <w:font w:name="等线 Light">
    <w:panose1 w:val="02010600030101010101"/>
    <w:charset w:val="86"/>
    <w:family w:val="modern"/>
    <w:pitch w:val="default"/>
    <w:sig w:usb0="A00002BF" w:usb1="38CF7CFA" w:usb2="00000016" w:usb3="00000000" w:csb0="0004000F" w:csb1="00000000"/>
  </w:font>
  <w:font w:name="Arial Unicode MS">
    <w:altName w:val="Arial"/>
    <w:panose1 w:val="020B0604020202020204"/>
    <w:charset w:val="80"/>
    <w:family w:val="roman"/>
    <w:pitch w:val="default"/>
    <w:sig w:usb0="00000000" w:usb1="00000000" w:usb2="0000003F" w:usb3="00000000" w:csb0="603F01FF" w:csb1="FFFF0000"/>
  </w:font>
  <w:font w:name="GulimChe">
    <w:panose1 w:val="020B0609000101010101"/>
    <w:charset w:val="81"/>
    <w:family w:val="swiss"/>
    <w:pitch w:val="default"/>
    <w:sig w:usb0="B00002AF" w:usb1="69D77CFB" w:usb2="00000030" w:usb3="00000000" w:csb0="4008009F" w:csb1="DFD70000"/>
  </w:font>
  <w:font w:name="Dotum">
    <w:panose1 w:val="020B0600000101010101"/>
    <w:charset w:val="81"/>
    <w:family w:val="swiss"/>
    <w:pitch w:val="default"/>
    <w:sig w:usb0="B00002AF" w:usb1="69D77CFB" w:usb2="00000030" w:usb3="00000000" w:csb0="4008009F" w:csb1="DFD70000"/>
  </w:font>
  <w:font w:name="Zapf Elliptical 71 1 BT">
    <w:altName w:val="宋体"/>
    <w:panose1 w:val="00000000000000000000"/>
    <w:charset w:val="86"/>
    <w:family w:val="roman"/>
    <w:pitch w:val="default"/>
    <w:sig w:usb0="00000000" w:usb1="00000000" w:usb2="00000010" w:usb3="00000000" w:csb0="00040000" w:csb1="00000000"/>
  </w:font>
  <w:font w:name="Univers 45 Light">
    <w:altName w:val="Arial"/>
    <w:panose1 w:val="00000000000000000000"/>
    <w:charset w:val="00"/>
    <w:family w:val="swiss"/>
    <w:pitch w:val="default"/>
    <w:sig w:usb0="00000000" w:usb1="00000000" w:usb2="00000000" w:usb3="00000000" w:csb0="00000001" w:csb1="00000000"/>
  </w:font>
  <w:font w:name="LotusLineDraw">
    <w:altName w:val="Arial"/>
    <w:panose1 w:val="00000000000000000000"/>
    <w:charset w:val="00"/>
    <w:family w:val="swiss"/>
    <w:pitch w:val="default"/>
    <w:sig w:usb0="00000000" w:usb1="00000000" w:usb2="00000000" w:usb3="00000000" w:csb0="00000001" w:csb1="00000000"/>
  </w:font>
  <w:font w:name="Cordia New">
    <w:panose1 w:val="020B0304020202020204"/>
    <w:charset w:val="00"/>
    <w:family w:val="swiss"/>
    <w:pitch w:val="default"/>
    <w:sig w:usb0="81000003" w:usb1="00000000" w:usb2="00000000" w:usb3="00000000" w:csb0="00010001" w:csb1="00000000"/>
  </w:font>
  <w:font w:name="Tms Rmn">
    <w:altName w:val="Times New Roman"/>
    <w:panose1 w:val="00000000000000000000"/>
    <w:charset w:val="4D"/>
    <w:family w:val="roman"/>
    <w:pitch w:val="default"/>
    <w:sig w:usb0="00000000" w:usb1="00000000" w:usb2="00000000" w:usb3="00000000" w:csb0="00000001" w:csb1="00000000"/>
  </w:font>
  <w:font w:name="Microsoft Sans Serif">
    <w:panose1 w:val="020B0604020202020204"/>
    <w:charset w:val="00"/>
    <w:family w:val="swiss"/>
    <w:pitch w:val="default"/>
    <w:sig w:usb0="E1002AFF" w:usb1="C0000002" w:usb2="00000008" w:usb3="00000000" w:csb0="200101FF" w:csb1="20280000"/>
  </w:font>
  <w:font w:name="Angsana New">
    <w:panose1 w:val="02020603050405020304"/>
    <w:charset w:val="00"/>
    <w:family w:val="roman"/>
    <w:pitch w:val="default"/>
    <w:sig w:usb0="81000003" w:usb1="00000000" w:usb2="00000000" w:usb3="00000000" w:csb0="00010001" w:csb1="00000000"/>
  </w:font>
  <w:font w:name="MingLiU">
    <w:panose1 w:val="02020509000000000000"/>
    <w:charset w:val="88"/>
    <w:family w:val="roman"/>
    <w:pitch w:val="default"/>
    <w:sig w:usb0="A00002FF" w:usb1="28CFFCFA" w:usb2="00000016" w:usb3="00000000" w:csb0="00100001" w:csb1="00000000"/>
  </w:font>
  <w:font w:name="Arial Narrow">
    <w:altName w:val="Arial"/>
    <w:panose1 w:val="020B0606020202030204"/>
    <w:charset w:val="00"/>
    <w:family w:val="swiss"/>
    <w:pitch w:val="default"/>
    <w:sig w:usb0="00000000" w:usb1="00000000" w:usb2="00000000" w:usb3="00000000" w:csb0="2000009F" w:csb1="DFD70000"/>
  </w:font>
  <w:font w:name="Segoe UI Symbol">
    <w:panose1 w:val="020B0502040204020203"/>
    <w:charset w:val="00"/>
    <w:family w:val="swiss"/>
    <w:pitch w:val="default"/>
    <w:sig w:usb0="8000006F" w:usb1="1200FBEF" w:usb2="0064C000" w:usb3="00000002" w:csb0="00000001" w:csb1="40000000"/>
  </w:font>
  <w:font w:name="Arial">
    <w:panose1 w:val="020B0604020202020204"/>
    <w:charset w:val="80"/>
    <w:family w:val="roma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22</w:t>
    </w:r>
    <w:r>
      <w:rPr>
        <w:lang w:val="zh-CN"/>
      </w:rPr>
      <w:fldChar w:fldCharType="end"/>
    </w:r>
  </w:p>
  <w:p>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2018年10月版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
    <w:nsid w:val="00000004"/>
    <w:multiLevelType w:val="singleLevel"/>
    <w:tmpl w:val="00000004"/>
    <w:lvl w:ilvl="0" w:tentative="1">
      <w:start w:val="1"/>
      <w:numFmt w:val="decimal"/>
      <w:pStyle w:val="14"/>
      <w:lvlText w:val="%1."/>
      <w:lvlJc w:val="left"/>
      <w:pPr>
        <w:tabs>
          <w:tab w:val="left" w:pos="360"/>
        </w:tabs>
        <w:ind w:left="360" w:hanging="360"/>
      </w:pPr>
    </w:lvl>
  </w:abstractNum>
  <w:abstractNum w:abstractNumId="1500854995">
    <w:nsid w:val="59753AD3"/>
    <w:multiLevelType w:val="singleLevel"/>
    <w:tmpl w:val="59753AD3"/>
    <w:lvl w:ilvl="0" w:tentative="1">
      <w:start w:val="1"/>
      <w:numFmt w:val="chineseCounting"/>
      <w:suff w:val="nothing"/>
      <w:lvlText w:val="（%1）"/>
      <w:lvlJc w:val="left"/>
      <w:pPr>
        <w:ind w:left="0" w:leftChars="0" w:firstLine="420" w:firstLineChars="0"/>
      </w:pPr>
      <w:rPr>
        <w:rFonts w:hint="eastAsia"/>
      </w:rPr>
    </w:lvl>
  </w:abstractNum>
  <w:abstractNum w:abstractNumId="1501035366">
    <w:nsid w:val="5977FB66"/>
    <w:multiLevelType w:val="singleLevel"/>
    <w:tmpl w:val="5977FB66"/>
    <w:lvl w:ilvl="0" w:tentative="1">
      <w:start w:val="1"/>
      <w:numFmt w:val="decimal"/>
      <w:lvlText w:val="%1."/>
      <w:lvlJc w:val="left"/>
      <w:pPr>
        <w:tabs>
          <w:tab w:val="left" w:pos="425"/>
        </w:tabs>
        <w:ind w:left="425" w:leftChars="0" w:hanging="425" w:firstLineChars="0"/>
      </w:pPr>
      <w:rPr>
        <w:rFonts w:hint="default"/>
      </w:rPr>
    </w:lvl>
  </w:abstractNum>
  <w:abstractNum w:abstractNumId="1501035402">
    <w:nsid w:val="5977FB8A"/>
    <w:multiLevelType w:val="singleLevel"/>
    <w:tmpl w:val="5977FB8A"/>
    <w:lvl w:ilvl="0" w:tentative="1">
      <w:start w:val="1"/>
      <w:numFmt w:val="decimal"/>
      <w:lvlText w:val="%1)"/>
      <w:lvlJc w:val="left"/>
      <w:pPr>
        <w:tabs>
          <w:tab w:val="left" w:pos="425"/>
        </w:tabs>
        <w:ind w:left="425" w:leftChars="0" w:hanging="425" w:firstLineChars="0"/>
      </w:pPr>
      <w:rPr>
        <w:rFonts w:hint="default"/>
      </w:rPr>
    </w:lvl>
  </w:abstractNum>
  <w:abstractNum w:abstractNumId="1501037182">
    <w:nsid w:val="5978027E"/>
    <w:multiLevelType w:val="singleLevel"/>
    <w:tmpl w:val="5978027E"/>
    <w:lvl w:ilvl="0" w:tentative="1">
      <w:start w:val="1"/>
      <w:numFmt w:val="decimal"/>
      <w:lvlText w:val="%1."/>
      <w:lvlJc w:val="left"/>
      <w:pPr>
        <w:tabs>
          <w:tab w:val="left" w:pos="425"/>
        </w:tabs>
        <w:ind w:left="425" w:leftChars="0" w:hanging="425" w:firstLineChars="0"/>
      </w:pPr>
      <w:rPr>
        <w:rFonts w:hint="default"/>
      </w:rPr>
    </w:lvl>
  </w:abstractNum>
  <w:abstractNum w:abstractNumId="1500855675">
    <w:nsid w:val="59753D7B"/>
    <w:multiLevelType w:val="singleLevel"/>
    <w:tmpl w:val="59753D7B"/>
    <w:lvl w:ilvl="0" w:tentative="1">
      <w:start w:val="1"/>
      <w:numFmt w:val="chineseCounting"/>
      <w:suff w:val="nothing"/>
      <w:lvlText w:val="（%1）"/>
      <w:lvlJc w:val="left"/>
      <w:pPr>
        <w:ind w:left="0" w:leftChars="0" w:firstLine="420" w:firstLineChars="0"/>
      </w:pPr>
      <w:rPr>
        <w:rFonts w:hint="eastAsia"/>
      </w:rPr>
    </w:lvl>
  </w:abstractNum>
  <w:abstractNum w:abstractNumId="1501037278">
    <w:nsid w:val="597802DE"/>
    <w:multiLevelType w:val="singleLevel"/>
    <w:tmpl w:val="597802DE"/>
    <w:lvl w:ilvl="0" w:tentative="1">
      <w:start w:val="1"/>
      <w:numFmt w:val="decimal"/>
      <w:lvlText w:val="%1."/>
      <w:lvlJc w:val="left"/>
      <w:pPr>
        <w:tabs>
          <w:tab w:val="left" w:pos="425"/>
        </w:tabs>
        <w:ind w:left="425" w:leftChars="0" w:hanging="425" w:firstLineChars="0"/>
      </w:pPr>
      <w:rPr>
        <w:rFonts w:hint="default"/>
      </w:rPr>
    </w:lvl>
  </w:abstractNum>
  <w:abstractNum w:abstractNumId="1501057513">
    <w:nsid w:val="597851E9"/>
    <w:multiLevelType w:val="singleLevel"/>
    <w:tmpl w:val="597851E9"/>
    <w:lvl w:ilvl="0" w:tentative="1">
      <w:start w:val="1"/>
      <w:numFmt w:val="decimal"/>
      <w:lvlText w:val="%1."/>
      <w:lvlJc w:val="left"/>
      <w:pPr>
        <w:tabs>
          <w:tab w:val="left" w:pos="425"/>
        </w:tabs>
        <w:ind w:left="425" w:leftChars="0" w:hanging="425" w:firstLineChars="0"/>
      </w:pPr>
      <w:rPr>
        <w:rFonts w:hint="default"/>
      </w:rPr>
    </w:lvl>
  </w:abstractNum>
  <w:abstractNum w:abstractNumId="1501058228">
    <w:nsid w:val="597854B4"/>
    <w:multiLevelType w:val="singleLevel"/>
    <w:tmpl w:val="597854B4"/>
    <w:lvl w:ilvl="0" w:tentative="1">
      <w:start w:val="1"/>
      <w:numFmt w:val="chineseCounting"/>
      <w:suff w:val="nothing"/>
      <w:lvlText w:val="（%1）"/>
      <w:lvlJc w:val="left"/>
      <w:pPr>
        <w:ind w:left="0" w:leftChars="0" w:firstLine="420" w:firstLineChars="0"/>
      </w:pPr>
      <w:rPr>
        <w:rFonts w:hint="eastAsia"/>
      </w:rPr>
    </w:lvl>
  </w:abstractNum>
  <w:abstractNum w:abstractNumId="1501058278">
    <w:nsid w:val="597854E6"/>
    <w:multiLevelType w:val="singleLevel"/>
    <w:tmpl w:val="597854E6"/>
    <w:lvl w:ilvl="0" w:tentative="1">
      <w:start w:val="1"/>
      <w:numFmt w:val="chineseCounting"/>
      <w:suff w:val="nothing"/>
      <w:lvlText w:val="（%1）"/>
      <w:lvlJc w:val="left"/>
      <w:pPr>
        <w:ind w:left="0" w:leftChars="0" w:firstLine="420" w:firstLineChars="0"/>
      </w:pPr>
      <w:rPr>
        <w:rFonts w:hint="eastAsia"/>
      </w:rPr>
    </w:lvl>
  </w:abstractNum>
  <w:abstractNum w:abstractNumId="1501058320">
    <w:nsid w:val="59785510"/>
    <w:multiLevelType w:val="singleLevel"/>
    <w:tmpl w:val="59785510"/>
    <w:lvl w:ilvl="0" w:tentative="1">
      <w:start w:val="1"/>
      <w:numFmt w:val="decimal"/>
      <w:lvlText w:val="%1."/>
      <w:lvlJc w:val="left"/>
      <w:pPr>
        <w:tabs>
          <w:tab w:val="left" w:pos="425"/>
        </w:tabs>
        <w:ind w:left="425" w:leftChars="0" w:hanging="425" w:firstLineChars="0"/>
      </w:pPr>
      <w:rPr>
        <w:rFonts w:hint="default"/>
      </w:rPr>
    </w:lvl>
  </w:abstractNum>
  <w:abstractNum w:abstractNumId="1501058679">
    <w:nsid w:val="59785677"/>
    <w:multiLevelType w:val="singleLevel"/>
    <w:tmpl w:val="59785677"/>
    <w:lvl w:ilvl="0" w:tentative="1">
      <w:start w:val="1"/>
      <w:numFmt w:val="decimal"/>
      <w:lvlText w:val="%1."/>
      <w:lvlJc w:val="left"/>
      <w:pPr>
        <w:tabs>
          <w:tab w:val="left" w:pos="425"/>
        </w:tabs>
        <w:ind w:left="425" w:leftChars="0" w:hanging="425" w:firstLineChars="0"/>
      </w:pPr>
      <w:rPr>
        <w:rFonts w:hint="default"/>
      </w:rPr>
    </w:lvl>
  </w:abstractNum>
  <w:abstractNum w:abstractNumId="1501059053">
    <w:nsid w:val="597857ED"/>
    <w:multiLevelType w:val="singleLevel"/>
    <w:tmpl w:val="597857ED"/>
    <w:lvl w:ilvl="0" w:tentative="1">
      <w:start w:val="1"/>
      <w:numFmt w:val="decimal"/>
      <w:lvlText w:val="%1."/>
      <w:lvlJc w:val="left"/>
      <w:pPr>
        <w:tabs>
          <w:tab w:val="left" w:pos="425"/>
        </w:tabs>
        <w:ind w:left="425" w:leftChars="0" w:hanging="425" w:firstLineChars="0"/>
      </w:pPr>
      <w:rPr>
        <w:rFonts w:hint="default"/>
      </w:rPr>
    </w:lvl>
  </w:abstractNum>
  <w:abstractNum w:abstractNumId="1501059252">
    <w:nsid w:val="597858B4"/>
    <w:multiLevelType w:val="singleLevel"/>
    <w:tmpl w:val="597858B4"/>
    <w:lvl w:ilvl="0" w:tentative="1">
      <w:start w:val="1"/>
      <w:numFmt w:val="decimal"/>
      <w:lvlText w:val="%1."/>
      <w:lvlJc w:val="left"/>
      <w:pPr>
        <w:tabs>
          <w:tab w:val="left" w:pos="425"/>
        </w:tabs>
        <w:ind w:left="425" w:leftChars="0" w:hanging="425" w:firstLineChars="0"/>
      </w:pPr>
      <w:rPr>
        <w:rFonts w:hint="default"/>
      </w:rPr>
    </w:lvl>
  </w:abstractNum>
  <w:abstractNum w:abstractNumId="1501059284">
    <w:nsid w:val="597858D4"/>
    <w:multiLevelType w:val="singleLevel"/>
    <w:tmpl w:val="597858D4"/>
    <w:lvl w:ilvl="0" w:tentative="1">
      <w:start w:val="1"/>
      <w:numFmt w:val="decimal"/>
      <w:lvlText w:val="%1."/>
      <w:lvlJc w:val="left"/>
      <w:pPr>
        <w:tabs>
          <w:tab w:val="left" w:pos="425"/>
        </w:tabs>
        <w:ind w:left="425" w:leftChars="0" w:hanging="425" w:firstLineChars="0"/>
      </w:pPr>
      <w:rPr>
        <w:rFonts w:hint="default"/>
      </w:rPr>
    </w:lvl>
  </w:abstractNum>
  <w:abstractNum w:abstractNumId="1501059767">
    <w:nsid w:val="59785AB7"/>
    <w:multiLevelType w:val="singleLevel"/>
    <w:tmpl w:val="59785AB7"/>
    <w:lvl w:ilvl="0" w:tentative="1">
      <w:start w:val="1"/>
      <w:numFmt w:val="chineseCounting"/>
      <w:suff w:val="nothing"/>
      <w:lvlText w:val="（%1）"/>
      <w:lvlJc w:val="left"/>
      <w:pPr>
        <w:ind w:left="0" w:leftChars="0" w:firstLine="420" w:firstLineChars="0"/>
      </w:pPr>
      <w:rPr>
        <w:rFonts w:hint="eastAsia"/>
      </w:rPr>
    </w:lvl>
  </w:abstractNum>
  <w:abstractNum w:abstractNumId="1501059796">
    <w:nsid w:val="59785AD4"/>
    <w:multiLevelType w:val="singleLevel"/>
    <w:tmpl w:val="59785AD4"/>
    <w:lvl w:ilvl="0" w:tentative="1">
      <w:start w:val="1"/>
      <w:numFmt w:val="decimal"/>
      <w:lvlText w:val="%1."/>
      <w:lvlJc w:val="left"/>
      <w:pPr>
        <w:tabs>
          <w:tab w:val="left" w:pos="425"/>
        </w:tabs>
        <w:ind w:left="425" w:leftChars="0" w:hanging="425" w:firstLineChars="0"/>
      </w:pPr>
      <w:rPr>
        <w:rFonts w:hint="default"/>
      </w:rPr>
    </w:lvl>
  </w:abstractNum>
  <w:abstractNum w:abstractNumId="1501059816">
    <w:nsid w:val="59785AE8"/>
    <w:multiLevelType w:val="singleLevel"/>
    <w:tmpl w:val="59785AE8"/>
    <w:lvl w:ilvl="0" w:tentative="1">
      <w:start w:val="1"/>
      <w:numFmt w:val="decimal"/>
      <w:lvlText w:val="%1."/>
      <w:lvlJc w:val="left"/>
      <w:pPr>
        <w:tabs>
          <w:tab w:val="left" w:pos="425"/>
        </w:tabs>
        <w:ind w:left="425" w:leftChars="0" w:hanging="425" w:firstLineChars="0"/>
      </w:pPr>
      <w:rPr>
        <w:rFonts w:hint="default"/>
      </w:rPr>
    </w:lvl>
  </w:abstractNum>
  <w:abstractNum w:abstractNumId="1383709903">
    <w:nsid w:val="5279BCCF"/>
    <w:multiLevelType w:val="singleLevel"/>
    <w:tmpl w:val="5279BCCF"/>
    <w:lvl w:ilvl="0" w:tentative="1">
      <w:start w:val="1"/>
      <w:numFmt w:val="chineseCounting"/>
      <w:suff w:val="nothing"/>
      <w:lvlText w:val="%1、"/>
      <w:lvlJc w:val="left"/>
    </w:lvl>
  </w:abstractNum>
  <w:abstractNum w:abstractNumId="1974169519">
    <w:nsid w:val="75AB6FAF"/>
    <w:multiLevelType w:val="multilevel"/>
    <w:tmpl w:val="75AB6FAF"/>
    <w:lvl w:ilvl="0" w:tentative="1">
      <w:start w:val="1"/>
      <w:numFmt w:val="decimal"/>
      <w:lvlText w:val="%1."/>
      <w:lvlJc w:val="left"/>
      <w:pPr>
        <w:ind w:left="1120" w:hanging="420"/>
      </w:pPr>
    </w:lvl>
    <w:lvl w:ilvl="1" w:tentative="1">
      <w:start w:val="1"/>
      <w:numFmt w:val="lowerLetter"/>
      <w:lvlText w:val="%2)"/>
      <w:lvlJc w:val="left"/>
      <w:pPr>
        <w:ind w:left="1540" w:hanging="420"/>
      </w:pPr>
    </w:lvl>
    <w:lvl w:ilvl="2" w:tentative="1">
      <w:start w:val="1"/>
      <w:numFmt w:val="lowerRoman"/>
      <w:lvlText w:val="%3."/>
      <w:lvlJc w:val="right"/>
      <w:pPr>
        <w:ind w:left="1960" w:hanging="420"/>
      </w:pPr>
    </w:lvl>
    <w:lvl w:ilvl="3" w:tentative="1">
      <w:start w:val="1"/>
      <w:numFmt w:val="decimal"/>
      <w:lvlText w:val="%4."/>
      <w:lvlJc w:val="left"/>
      <w:pPr>
        <w:ind w:left="2380" w:hanging="420"/>
      </w:pPr>
    </w:lvl>
    <w:lvl w:ilvl="4" w:tentative="1">
      <w:start w:val="1"/>
      <w:numFmt w:val="lowerLetter"/>
      <w:lvlText w:val="%5)"/>
      <w:lvlJc w:val="left"/>
      <w:pPr>
        <w:ind w:left="2800" w:hanging="420"/>
      </w:pPr>
    </w:lvl>
    <w:lvl w:ilvl="5" w:tentative="1">
      <w:start w:val="1"/>
      <w:numFmt w:val="lowerRoman"/>
      <w:lvlText w:val="%6."/>
      <w:lvlJc w:val="right"/>
      <w:pPr>
        <w:ind w:left="3220" w:hanging="420"/>
      </w:pPr>
    </w:lvl>
    <w:lvl w:ilvl="6" w:tentative="1">
      <w:start w:val="1"/>
      <w:numFmt w:val="decimal"/>
      <w:lvlText w:val="%7."/>
      <w:lvlJc w:val="left"/>
      <w:pPr>
        <w:ind w:left="3640" w:hanging="420"/>
      </w:pPr>
    </w:lvl>
    <w:lvl w:ilvl="7" w:tentative="1">
      <w:start w:val="1"/>
      <w:numFmt w:val="lowerLetter"/>
      <w:lvlText w:val="%8)"/>
      <w:lvlJc w:val="left"/>
      <w:pPr>
        <w:ind w:left="4060" w:hanging="420"/>
      </w:pPr>
    </w:lvl>
    <w:lvl w:ilvl="8" w:tentative="1">
      <w:start w:val="1"/>
      <w:numFmt w:val="lowerRoman"/>
      <w:lvlText w:val="%9."/>
      <w:lvlJc w:val="right"/>
      <w:pPr>
        <w:ind w:left="4480" w:hanging="420"/>
      </w:pPr>
    </w:lvl>
  </w:abstractNum>
  <w:abstractNum w:abstractNumId="1501210897">
    <w:nsid w:val="597AA911"/>
    <w:multiLevelType w:val="singleLevel"/>
    <w:tmpl w:val="597AA911"/>
    <w:lvl w:ilvl="0" w:tentative="1">
      <w:start w:val="1"/>
      <w:numFmt w:val="chineseCounting"/>
      <w:suff w:val="nothing"/>
      <w:lvlText w:val="%1、"/>
      <w:lvlJc w:val="left"/>
      <w:pPr>
        <w:ind w:left="0" w:leftChars="0" w:firstLine="420" w:firstLineChars="0"/>
      </w:pPr>
      <w:rPr>
        <w:rFonts w:hint="eastAsia"/>
      </w:rPr>
    </w:lvl>
  </w:abstractNum>
  <w:abstractNum w:abstractNumId="1501211391">
    <w:nsid w:val="597AAAFF"/>
    <w:multiLevelType w:val="singleLevel"/>
    <w:tmpl w:val="597AAAFF"/>
    <w:lvl w:ilvl="0" w:tentative="1">
      <w:start w:val="1"/>
      <w:numFmt w:val="decimal"/>
      <w:lvlText w:val="%1."/>
      <w:lvlJc w:val="left"/>
      <w:pPr>
        <w:tabs>
          <w:tab w:val="left" w:pos="425"/>
        </w:tabs>
        <w:ind w:left="425" w:leftChars="0" w:hanging="425" w:firstLineChars="0"/>
      </w:pPr>
      <w:rPr>
        <w:rFonts w:hint="default"/>
      </w:rPr>
    </w:lvl>
  </w:abstractNum>
  <w:abstractNum w:abstractNumId="1501758250">
    <w:nsid w:val="5983032A"/>
    <w:multiLevelType w:val="singleLevel"/>
    <w:tmpl w:val="5983032A"/>
    <w:lvl w:ilvl="0" w:tentative="1">
      <w:start w:val="2"/>
      <w:numFmt w:val="chineseCounting"/>
      <w:suff w:val="nothing"/>
      <w:lvlText w:val="%1、"/>
      <w:lvlJc w:val="left"/>
    </w:lvl>
  </w:abstractNum>
  <w:abstractNum w:abstractNumId="1560769422">
    <w:nsid w:val="5D07738E"/>
    <w:multiLevelType w:val="singleLevel"/>
    <w:tmpl w:val="5D07738E"/>
    <w:lvl w:ilvl="0" w:tentative="1">
      <w:start w:val="1"/>
      <w:numFmt w:val="decimal"/>
      <w:lvlText w:val="%1."/>
      <w:lvlJc w:val="left"/>
      <w:pPr>
        <w:ind w:left="425" w:leftChars="0" w:hanging="425" w:firstLineChars="0"/>
      </w:pPr>
      <w:rPr>
        <w:rFonts w:hint="default"/>
      </w:rPr>
    </w:lvl>
  </w:abstractNum>
  <w:abstractNum w:abstractNumId="3978291219">
    <w:nsid w:val="ED1FE813"/>
    <w:multiLevelType w:val="singleLevel"/>
    <w:tmpl w:val="ED1FE813"/>
    <w:lvl w:ilvl="0" w:tentative="1">
      <w:start w:val="1"/>
      <w:numFmt w:val="decimal"/>
      <w:suff w:val="nothing"/>
      <w:lvlText w:val="%1．"/>
      <w:lvlJc w:val="left"/>
      <w:pPr>
        <w:ind w:left="0" w:firstLine="400"/>
      </w:pPr>
      <w:rPr>
        <w:rFonts w:hint="default"/>
      </w:rPr>
    </w:lvl>
  </w:abstractNum>
  <w:abstractNum w:abstractNumId="4160826744">
    <w:nsid w:val="F8012D78"/>
    <w:multiLevelType w:val="singleLevel"/>
    <w:tmpl w:val="F8012D78"/>
    <w:lvl w:ilvl="0" w:tentative="1">
      <w:start w:val="1"/>
      <w:numFmt w:val="decimal"/>
      <w:lvlText w:val="(%1)"/>
      <w:lvlJc w:val="left"/>
      <w:pPr>
        <w:ind w:left="425" w:hanging="425"/>
      </w:pPr>
      <w:rPr>
        <w:rFonts w:hint="default"/>
      </w:rPr>
    </w:lvl>
  </w:abstractNum>
  <w:abstractNum w:abstractNumId="3870613599">
    <w:nsid w:val="E6B4E05F"/>
    <w:multiLevelType w:val="singleLevel"/>
    <w:tmpl w:val="E6B4E05F"/>
    <w:lvl w:ilvl="0" w:tentative="1">
      <w:start w:val="1"/>
      <w:numFmt w:val="decimal"/>
      <w:suff w:val="nothing"/>
      <w:lvlText w:val="%1．"/>
      <w:lvlJc w:val="left"/>
      <w:pPr>
        <w:ind w:left="0" w:firstLine="400"/>
      </w:pPr>
      <w:rPr>
        <w:rFonts w:hint="default"/>
      </w:rPr>
    </w:lvl>
  </w:abstractNum>
  <w:abstractNum w:abstractNumId="2784389013">
    <w:nsid w:val="A5F66795"/>
    <w:multiLevelType w:val="singleLevel"/>
    <w:tmpl w:val="A5F66795"/>
    <w:lvl w:ilvl="0" w:tentative="1">
      <w:start w:val="1"/>
      <w:numFmt w:val="decimal"/>
      <w:suff w:val="nothing"/>
      <w:lvlText w:val="%1．"/>
      <w:lvlJc w:val="left"/>
      <w:pPr>
        <w:ind w:left="0" w:firstLine="400"/>
      </w:pPr>
      <w:rPr>
        <w:rFonts w:hint="default"/>
      </w:rPr>
    </w:lvl>
  </w:abstractNum>
  <w:abstractNum w:abstractNumId="3211485674">
    <w:nsid w:val="BF6B61EA"/>
    <w:multiLevelType w:val="singleLevel"/>
    <w:tmpl w:val="BF6B61EA"/>
    <w:lvl w:ilvl="0" w:tentative="1">
      <w:start w:val="1"/>
      <w:numFmt w:val="decimal"/>
      <w:suff w:val="nothing"/>
      <w:lvlText w:val="%1．"/>
      <w:lvlJc w:val="left"/>
      <w:pPr>
        <w:ind w:left="0" w:firstLine="400"/>
      </w:pPr>
      <w:rPr>
        <w:rFonts w:hint="default"/>
      </w:rPr>
    </w:lvl>
  </w:abstractNum>
  <w:abstractNum w:abstractNumId="2655600992">
    <w:nsid w:val="9E494160"/>
    <w:multiLevelType w:val="singleLevel"/>
    <w:tmpl w:val="9E494160"/>
    <w:lvl w:ilvl="0" w:tentative="1">
      <w:start w:val="1"/>
      <w:numFmt w:val="decimal"/>
      <w:suff w:val="nothing"/>
      <w:lvlText w:val="%1．"/>
      <w:lvlJc w:val="left"/>
      <w:pPr>
        <w:ind w:left="0" w:firstLine="400"/>
      </w:pPr>
      <w:rPr>
        <w:rFonts w:hint="default"/>
      </w:rPr>
    </w:lvl>
  </w:abstractNum>
  <w:abstractNum w:abstractNumId="3778429898">
    <w:nsid w:val="E13643CA"/>
    <w:multiLevelType w:val="singleLevel"/>
    <w:tmpl w:val="E13643CA"/>
    <w:lvl w:ilvl="0" w:tentative="1">
      <w:start w:val="1"/>
      <w:numFmt w:val="decimal"/>
      <w:suff w:val="nothing"/>
      <w:lvlText w:val="%1．"/>
      <w:lvlJc w:val="left"/>
      <w:pPr>
        <w:ind w:left="0" w:firstLine="400"/>
      </w:pPr>
      <w:rPr>
        <w:rFonts w:hint="default"/>
      </w:rPr>
    </w:lvl>
  </w:abstractNum>
  <w:abstractNum w:abstractNumId="3660466559">
    <w:nsid w:val="DA2E497F"/>
    <w:multiLevelType w:val="singleLevel"/>
    <w:tmpl w:val="DA2E497F"/>
    <w:lvl w:ilvl="0" w:tentative="1">
      <w:start w:val="1"/>
      <w:numFmt w:val="decimal"/>
      <w:suff w:val="nothing"/>
      <w:lvlText w:val="%1．"/>
      <w:lvlJc w:val="left"/>
      <w:pPr>
        <w:ind w:left="0" w:firstLine="400"/>
      </w:pPr>
      <w:rPr>
        <w:rFonts w:hint="default"/>
      </w:rPr>
    </w:lvl>
  </w:abstractNum>
  <w:abstractNum w:abstractNumId="2307631804">
    <w:nsid w:val="898BAABC"/>
    <w:multiLevelType w:val="singleLevel"/>
    <w:tmpl w:val="898BAABC"/>
    <w:lvl w:ilvl="0" w:tentative="1">
      <w:start w:val="1"/>
      <w:numFmt w:val="decimal"/>
      <w:suff w:val="nothing"/>
      <w:lvlText w:val="%1．"/>
      <w:lvlJc w:val="left"/>
      <w:pPr>
        <w:ind w:left="0" w:firstLine="400"/>
      </w:pPr>
      <w:rPr>
        <w:rFonts w:hint="default"/>
      </w:rPr>
    </w:lvl>
  </w:abstractNum>
  <w:abstractNum w:abstractNumId="2662236661">
    <w:nsid w:val="9EAE81F5"/>
    <w:multiLevelType w:val="singleLevel"/>
    <w:tmpl w:val="9EAE81F5"/>
    <w:lvl w:ilvl="0" w:tentative="1">
      <w:start w:val="1"/>
      <w:numFmt w:val="decimal"/>
      <w:lvlText w:val="(%1)"/>
      <w:lvlJc w:val="left"/>
      <w:pPr>
        <w:ind w:left="425" w:hanging="425"/>
      </w:pPr>
      <w:rPr>
        <w:rFonts w:hint="default"/>
      </w:rPr>
    </w:lvl>
  </w:abstractNum>
  <w:abstractNum w:abstractNumId="4294555408">
    <w:nsid w:val="FFF9B710"/>
    <w:multiLevelType w:val="singleLevel"/>
    <w:tmpl w:val="FFF9B710"/>
    <w:lvl w:ilvl="0" w:tentative="1">
      <w:start w:val="1"/>
      <w:numFmt w:val="decimal"/>
      <w:suff w:val="nothing"/>
      <w:lvlText w:val="%1．"/>
      <w:lvlJc w:val="left"/>
      <w:pPr>
        <w:ind w:left="0" w:firstLine="400"/>
      </w:pPr>
      <w:rPr>
        <w:rFonts w:hint="default"/>
      </w:rPr>
    </w:lvl>
  </w:abstractNum>
  <w:abstractNum w:abstractNumId="1502074042">
    <w:nsid w:val="5987D4BA"/>
    <w:multiLevelType w:val="singleLevel"/>
    <w:tmpl w:val="5987D4BA"/>
    <w:lvl w:ilvl="0" w:tentative="1">
      <w:start w:val="2"/>
      <w:numFmt w:val="chineseCounting"/>
      <w:suff w:val="nothing"/>
      <w:lvlText w:val="（%1）"/>
      <w:lvlJc w:val="left"/>
    </w:lvl>
  </w:abstractNum>
  <w:abstractNum w:abstractNumId="1501759371">
    <w:nsid w:val="5983078B"/>
    <w:multiLevelType w:val="multilevel"/>
    <w:tmpl w:val="5983078B"/>
    <w:lvl w:ilvl="0" w:tentative="1">
      <w:start w:val="1"/>
      <w:numFmt w:val="decimal"/>
      <w:lvlText w:val="%1."/>
      <w:lvlJc w:val="left"/>
      <w:pPr>
        <w:ind w:left="1120" w:hanging="420"/>
      </w:pPr>
    </w:lvl>
    <w:lvl w:ilvl="1" w:tentative="1">
      <w:start w:val="1"/>
      <w:numFmt w:val="lowerLetter"/>
      <w:lvlText w:val="%2)"/>
      <w:lvlJc w:val="left"/>
      <w:pPr>
        <w:ind w:left="1540" w:hanging="420"/>
      </w:pPr>
    </w:lvl>
    <w:lvl w:ilvl="2" w:tentative="1">
      <w:start w:val="1"/>
      <w:numFmt w:val="lowerRoman"/>
      <w:lvlText w:val="%3."/>
      <w:lvlJc w:val="right"/>
      <w:pPr>
        <w:ind w:left="1960" w:hanging="420"/>
      </w:pPr>
    </w:lvl>
    <w:lvl w:ilvl="3" w:tentative="1">
      <w:start w:val="1"/>
      <w:numFmt w:val="decimal"/>
      <w:lvlText w:val="%4."/>
      <w:lvlJc w:val="left"/>
      <w:pPr>
        <w:ind w:left="2380" w:hanging="420"/>
      </w:pPr>
    </w:lvl>
    <w:lvl w:ilvl="4" w:tentative="1">
      <w:start w:val="1"/>
      <w:numFmt w:val="lowerLetter"/>
      <w:lvlText w:val="%5)"/>
      <w:lvlJc w:val="left"/>
      <w:pPr>
        <w:ind w:left="2800" w:hanging="420"/>
      </w:pPr>
    </w:lvl>
    <w:lvl w:ilvl="5" w:tentative="1">
      <w:start w:val="1"/>
      <w:numFmt w:val="lowerRoman"/>
      <w:lvlText w:val="%6."/>
      <w:lvlJc w:val="right"/>
      <w:pPr>
        <w:ind w:left="3220" w:hanging="420"/>
      </w:pPr>
    </w:lvl>
    <w:lvl w:ilvl="6" w:tentative="1">
      <w:start w:val="1"/>
      <w:numFmt w:val="decimal"/>
      <w:lvlText w:val="%7."/>
      <w:lvlJc w:val="left"/>
      <w:pPr>
        <w:ind w:left="3640" w:hanging="420"/>
      </w:pPr>
    </w:lvl>
    <w:lvl w:ilvl="7" w:tentative="1">
      <w:start w:val="1"/>
      <w:numFmt w:val="lowerLetter"/>
      <w:lvlText w:val="%8)"/>
      <w:lvlJc w:val="left"/>
      <w:pPr>
        <w:ind w:left="4060" w:hanging="420"/>
      </w:pPr>
    </w:lvl>
    <w:lvl w:ilvl="8" w:tentative="1">
      <w:start w:val="1"/>
      <w:numFmt w:val="lowerRoman"/>
      <w:lvlText w:val="%9."/>
      <w:lvlJc w:val="right"/>
      <w:pPr>
        <w:ind w:left="4480" w:hanging="420"/>
      </w:pPr>
    </w:lvl>
  </w:abstractNum>
  <w:abstractNum w:abstractNumId="193664678">
    <w:nsid w:val="0B8B16A6"/>
    <w:multiLevelType w:val="multilevel"/>
    <w:tmpl w:val="0B8B16A6"/>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2072933">
    <w:nsid w:val="5987D065"/>
    <w:multiLevelType w:val="singleLevel"/>
    <w:tmpl w:val="5987D065"/>
    <w:lvl w:ilvl="0" w:tentative="1">
      <w:start w:val="1"/>
      <w:numFmt w:val="chineseCounting"/>
      <w:suff w:val="nothing"/>
      <w:lvlText w:val="%1、"/>
      <w:lvlJc w:val="left"/>
    </w:lvl>
  </w:abstractNum>
  <w:abstractNum w:abstractNumId="1500855261">
    <w:nsid w:val="59753BDD"/>
    <w:multiLevelType w:val="singleLevel"/>
    <w:tmpl w:val="59753BDD"/>
    <w:lvl w:ilvl="0" w:tentative="1">
      <w:start w:val="1"/>
      <w:numFmt w:val="chineseCounting"/>
      <w:suff w:val="nothing"/>
      <w:lvlText w:val="%1、"/>
      <w:lvlJc w:val="left"/>
      <w:pPr>
        <w:ind w:left="0" w:leftChars="0" w:firstLine="420" w:firstLineChars="0"/>
      </w:pPr>
      <w:rPr>
        <w:rFonts w:hint="eastAsia"/>
      </w:rPr>
    </w:lvl>
  </w:abstractNum>
  <w:num w:numId="1">
    <w:abstractNumId w:val="4"/>
  </w:num>
  <w:num w:numId="2">
    <w:abstractNumId w:val="1500855261"/>
  </w:num>
  <w:num w:numId="3">
    <w:abstractNumId w:val="1500854995"/>
  </w:num>
  <w:num w:numId="4">
    <w:abstractNumId w:val="1501035366"/>
  </w:num>
  <w:num w:numId="5">
    <w:abstractNumId w:val="1501035402"/>
  </w:num>
  <w:num w:numId="6">
    <w:abstractNumId w:val="1501037182"/>
  </w:num>
  <w:num w:numId="7">
    <w:abstractNumId w:val="1500855675"/>
  </w:num>
  <w:num w:numId="8">
    <w:abstractNumId w:val="1501037278"/>
  </w:num>
  <w:num w:numId="9">
    <w:abstractNumId w:val="1501057513"/>
  </w:num>
  <w:num w:numId="10">
    <w:abstractNumId w:val="1501058228"/>
  </w:num>
  <w:num w:numId="11">
    <w:abstractNumId w:val="1501058278"/>
  </w:num>
  <w:num w:numId="12">
    <w:abstractNumId w:val="1501058320"/>
  </w:num>
  <w:num w:numId="13">
    <w:abstractNumId w:val="1501058679"/>
  </w:num>
  <w:num w:numId="14">
    <w:abstractNumId w:val="1501059053"/>
  </w:num>
  <w:num w:numId="15">
    <w:abstractNumId w:val="1501059252"/>
  </w:num>
  <w:num w:numId="16">
    <w:abstractNumId w:val="1501059284"/>
  </w:num>
  <w:num w:numId="17">
    <w:abstractNumId w:val="1501059767"/>
  </w:num>
  <w:num w:numId="18">
    <w:abstractNumId w:val="1501059796"/>
  </w:num>
  <w:num w:numId="19">
    <w:abstractNumId w:val="1501059816"/>
  </w:num>
  <w:num w:numId="20">
    <w:abstractNumId w:val="1383709903"/>
  </w:num>
  <w:num w:numId="21">
    <w:abstractNumId w:val="1974169519"/>
  </w:num>
  <w:num w:numId="22">
    <w:abstractNumId w:val="1501210897"/>
  </w:num>
  <w:num w:numId="23">
    <w:abstractNumId w:val="1501211391"/>
  </w:num>
  <w:num w:numId="24">
    <w:abstractNumId w:val="1501758250"/>
  </w:num>
  <w:num w:numId="25">
    <w:abstractNumId w:val="1560769422"/>
  </w:num>
  <w:num w:numId="26">
    <w:abstractNumId w:val="3978291219"/>
  </w:num>
  <w:num w:numId="27">
    <w:abstractNumId w:val="4160826744"/>
  </w:num>
  <w:num w:numId="28">
    <w:abstractNumId w:val="3870613599"/>
  </w:num>
  <w:num w:numId="29">
    <w:abstractNumId w:val="2784389013"/>
  </w:num>
  <w:num w:numId="30">
    <w:abstractNumId w:val="3211485674"/>
  </w:num>
  <w:num w:numId="31">
    <w:abstractNumId w:val="2655600992"/>
  </w:num>
  <w:num w:numId="32">
    <w:abstractNumId w:val="3778429898"/>
  </w:num>
  <w:num w:numId="33">
    <w:abstractNumId w:val="3660466559"/>
  </w:num>
  <w:num w:numId="34">
    <w:abstractNumId w:val="2307631804"/>
  </w:num>
  <w:num w:numId="35">
    <w:abstractNumId w:val="2662236661"/>
  </w:num>
  <w:num w:numId="36">
    <w:abstractNumId w:val="4294555408"/>
  </w:num>
  <w:num w:numId="37">
    <w:abstractNumId w:val="1502074042"/>
  </w:num>
  <w:num w:numId="38">
    <w:abstractNumId w:val="1501759371"/>
  </w:num>
  <w:num w:numId="39">
    <w:abstractNumId w:val="193664678"/>
  </w:num>
  <w:num w:numId="40">
    <w:abstractNumId w:val="15020729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23F763D"/>
    <w:rsid w:val="02426FC4"/>
    <w:rsid w:val="026003F1"/>
    <w:rsid w:val="02777751"/>
    <w:rsid w:val="02A067C4"/>
    <w:rsid w:val="02E74257"/>
    <w:rsid w:val="03140E87"/>
    <w:rsid w:val="034435B9"/>
    <w:rsid w:val="03926FEA"/>
    <w:rsid w:val="03991360"/>
    <w:rsid w:val="03B46439"/>
    <w:rsid w:val="03C6009B"/>
    <w:rsid w:val="0412370F"/>
    <w:rsid w:val="043F6208"/>
    <w:rsid w:val="04694A39"/>
    <w:rsid w:val="068A58DD"/>
    <w:rsid w:val="06A2432A"/>
    <w:rsid w:val="06AC59D5"/>
    <w:rsid w:val="0756131A"/>
    <w:rsid w:val="0854497E"/>
    <w:rsid w:val="08AB3900"/>
    <w:rsid w:val="08E829EE"/>
    <w:rsid w:val="0A5237FA"/>
    <w:rsid w:val="0AB43546"/>
    <w:rsid w:val="0AD164F5"/>
    <w:rsid w:val="0BDC31DE"/>
    <w:rsid w:val="0C824CC4"/>
    <w:rsid w:val="0C904C0E"/>
    <w:rsid w:val="0D1F1BB5"/>
    <w:rsid w:val="0D5D0AE8"/>
    <w:rsid w:val="0D8F2D46"/>
    <w:rsid w:val="0DAE5379"/>
    <w:rsid w:val="0DB16C2B"/>
    <w:rsid w:val="0DCB3E31"/>
    <w:rsid w:val="0E702D3B"/>
    <w:rsid w:val="0F8F770F"/>
    <w:rsid w:val="0FC565D5"/>
    <w:rsid w:val="10C776EF"/>
    <w:rsid w:val="11383706"/>
    <w:rsid w:val="12780A0F"/>
    <w:rsid w:val="12B9330F"/>
    <w:rsid w:val="131E3EC2"/>
    <w:rsid w:val="13CF32F6"/>
    <w:rsid w:val="14044EE5"/>
    <w:rsid w:val="14193B86"/>
    <w:rsid w:val="14A81FAA"/>
    <w:rsid w:val="14C71970"/>
    <w:rsid w:val="15840E3F"/>
    <w:rsid w:val="15BA039F"/>
    <w:rsid w:val="15D64E1E"/>
    <w:rsid w:val="16273CED"/>
    <w:rsid w:val="16972A5E"/>
    <w:rsid w:val="16975514"/>
    <w:rsid w:val="17F5625C"/>
    <w:rsid w:val="189D20F0"/>
    <w:rsid w:val="18B8785A"/>
    <w:rsid w:val="194D45C7"/>
    <w:rsid w:val="19A24DFE"/>
    <w:rsid w:val="19AE51F9"/>
    <w:rsid w:val="19B33F22"/>
    <w:rsid w:val="19B72D9E"/>
    <w:rsid w:val="19D06DF2"/>
    <w:rsid w:val="1A201B89"/>
    <w:rsid w:val="1A2C4A64"/>
    <w:rsid w:val="1A523FB8"/>
    <w:rsid w:val="1A6C779C"/>
    <w:rsid w:val="1A911203"/>
    <w:rsid w:val="1AE65EF1"/>
    <w:rsid w:val="1B5213EA"/>
    <w:rsid w:val="1B6E3D8D"/>
    <w:rsid w:val="1B986C08"/>
    <w:rsid w:val="1C1A366B"/>
    <w:rsid w:val="1CA154E8"/>
    <w:rsid w:val="1CA45FE9"/>
    <w:rsid w:val="1D106803"/>
    <w:rsid w:val="1D6C0124"/>
    <w:rsid w:val="1DE24E96"/>
    <w:rsid w:val="1E6C1D9C"/>
    <w:rsid w:val="1F000625"/>
    <w:rsid w:val="1F8E302F"/>
    <w:rsid w:val="1FC00BA4"/>
    <w:rsid w:val="1FC25642"/>
    <w:rsid w:val="207B4430"/>
    <w:rsid w:val="207E05FA"/>
    <w:rsid w:val="207F7502"/>
    <w:rsid w:val="20D27DF1"/>
    <w:rsid w:val="20E022E2"/>
    <w:rsid w:val="2159297C"/>
    <w:rsid w:val="21895C02"/>
    <w:rsid w:val="221E3807"/>
    <w:rsid w:val="222B3CD6"/>
    <w:rsid w:val="230A2981"/>
    <w:rsid w:val="231C05A6"/>
    <w:rsid w:val="23575D51"/>
    <w:rsid w:val="23D03A35"/>
    <w:rsid w:val="24B970CD"/>
    <w:rsid w:val="24DF4CB0"/>
    <w:rsid w:val="24EF1EC5"/>
    <w:rsid w:val="250A0639"/>
    <w:rsid w:val="25CF4249"/>
    <w:rsid w:val="262B1DED"/>
    <w:rsid w:val="27A24554"/>
    <w:rsid w:val="27BC7947"/>
    <w:rsid w:val="28506176"/>
    <w:rsid w:val="29655ACD"/>
    <w:rsid w:val="2AC82D98"/>
    <w:rsid w:val="2B0F368C"/>
    <w:rsid w:val="2CF57956"/>
    <w:rsid w:val="2CF80ADA"/>
    <w:rsid w:val="2D232E8B"/>
    <w:rsid w:val="2DD67FBC"/>
    <w:rsid w:val="2DDE4DF1"/>
    <w:rsid w:val="2E4F5B52"/>
    <w:rsid w:val="2E8C44A4"/>
    <w:rsid w:val="2ED63DAE"/>
    <w:rsid w:val="2F7326C6"/>
    <w:rsid w:val="2F920070"/>
    <w:rsid w:val="2FA85CD6"/>
    <w:rsid w:val="2FBB56EA"/>
    <w:rsid w:val="2FCC0C6E"/>
    <w:rsid w:val="305717B6"/>
    <w:rsid w:val="3071281A"/>
    <w:rsid w:val="31CF0A5D"/>
    <w:rsid w:val="32113DDD"/>
    <w:rsid w:val="32226E35"/>
    <w:rsid w:val="32544F91"/>
    <w:rsid w:val="32B51499"/>
    <w:rsid w:val="33D87D7E"/>
    <w:rsid w:val="3413415F"/>
    <w:rsid w:val="346D1CBC"/>
    <w:rsid w:val="34774473"/>
    <w:rsid w:val="34E770F3"/>
    <w:rsid w:val="352752A3"/>
    <w:rsid w:val="35AA3AE9"/>
    <w:rsid w:val="35D54B9D"/>
    <w:rsid w:val="36F0652C"/>
    <w:rsid w:val="373C6391"/>
    <w:rsid w:val="374977D6"/>
    <w:rsid w:val="375E3FC2"/>
    <w:rsid w:val="38B16AAF"/>
    <w:rsid w:val="38E17FBF"/>
    <w:rsid w:val="39E90411"/>
    <w:rsid w:val="39F17269"/>
    <w:rsid w:val="3AC36277"/>
    <w:rsid w:val="3B1220D5"/>
    <w:rsid w:val="3B2C3D25"/>
    <w:rsid w:val="3BB039CA"/>
    <w:rsid w:val="3C95430B"/>
    <w:rsid w:val="3D0542A9"/>
    <w:rsid w:val="3DFA001C"/>
    <w:rsid w:val="3E2677C4"/>
    <w:rsid w:val="3EA95DD0"/>
    <w:rsid w:val="3F2749AF"/>
    <w:rsid w:val="3F42799A"/>
    <w:rsid w:val="4077181C"/>
    <w:rsid w:val="40837CC5"/>
    <w:rsid w:val="40F36ADA"/>
    <w:rsid w:val="411656A7"/>
    <w:rsid w:val="42980C9A"/>
    <w:rsid w:val="42A542C4"/>
    <w:rsid w:val="43285D3E"/>
    <w:rsid w:val="438A492C"/>
    <w:rsid w:val="43B7463B"/>
    <w:rsid w:val="446B6756"/>
    <w:rsid w:val="448D0D5E"/>
    <w:rsid w:val="458925D9"/>
    <w:rsid w:val="458B155C"/>
    <w:rsid w:val="45D74323"/>
    <w:rsid w:val="45E619C3"/>
    <w:rsid w:val="45E87889"/>
    <w:rsid w:val="46D717B3"/>
    <w:rsid w:val="475437E4"/>
    <w:rsid w:val="477375C7"/>
    <w:rsid w:val="478D06DA"/>
    <w:rsid w:val="48570EBF"/>
    <w:rsid w:val="486253FD"/>
    <w:rsid w:val="49CC555F"/>
    <w:rsid w:val="49D25F5D"/>
    <w:rsid w:val="4A4D77BA"/>
    <w:rsid w:val="4AF24664"/>
    <w:rsid w:val="4B4E2792"/>
    <w:rsid w:val="4BFA7A10"/>
    <w:rsid w:val="4D391A3D"/>
    <w:rsid w:val="4DD51292"/>
    <w:rsid w:val="4E8D29A3"/>
    <w:rsid w:val="4E933484"/>
    <w:rsid w:val="4E9B37F3"/>
    <w:rsid w:val="4FB20DF4"/>
    <w:rsid w:val="4FB55C78"/>
    <w:rsid w:val="4FC2270A"/>
    <w:rsid w:val="4FD533B9"/>
    <w:rsid w:val="4FDF5118"/>
    <w:rsid w:val="5011782C"/>
    <w:rsid w:val="506D1992"/>
    <w:rsid w:val="50847E00"/>
    <w:rsid w:val="51A13730"/>
    <w:rsid w:val="520B41D4"/>
    <w:rsid w:val="52196F55"/>
    <w:rsid w:val="52386CE3"/>
    <w:rsid w:val="53EF7D85"/>
    <w:rsid w:val="53FA6863"/>
    <w:rsid w:val="54FE1F29"/>
    <w:rsid w:val="57435CB9"/>
    <w:rsid w:val="57952EED"/>
    <w:rsid w:val="581377A6"/>
    <w:rsid w:val="583C21B1"/>
    <w:rsid w:val="585F37C6"/>
    <w:rsid w:val="59A35BD0"/>
    <w:rsid w:val="5B3B60A4"/>
    <w:rsid w:val="5B46714E"/>
    <w:rsid w:val="5B5E5416"/>
    <w:rsid w:val="5B794029"/>
    <w:rsid w:val="5C006AA4"/>
    <w:rsid w:val="5C026E80"/>
    <w:rsid w:val="5C1F5633"/>
    <w:rsid w:val="5C5D0EEE"/>
    <w:rsid w:val="5C8247F7"/>
    <w:rsid w:val="5CA226DD"/>
    <w:rsid w:val="5DBA4654"/>
    <w:rsid w:val="5DDD6C7E"/>
    <w:rsid w:val="5DF20031"/>
    <w:rsid w:val="5F2D2E24"/>
    <w:rsid w:val="60D470B0"/>
    <w:rsid w:val="612A7E43"/>
    <w:rsid w:val="61357C86"/>
    <w:rsid w:val="614A23AF"/>
    <w:rsid w:val="61590E72"/>
    <w:rsid w:val="615B5C92"/>
    <w:rsid w:val="61771EE8"/>
    <w:rsid w:val="61C03AA5"/>
    <w:rsid w:val="61DC7A24"/>
    <w:rsid w:val="62625A67"/>
    <w:rsid w:val="62626C23"/>
    <w:rsid w:val="628402D0"/>
    <w:rsid w:val="63DE5387"/>
    <w:rsid w:val="64014DC5"/>
    <w:rsid w:val="641D0F13"/>
    <w:rsid w:val="643829A8"/>
    <w:rsid w:val="646C6FE8"/>
    <w:rsid w:val="64C03B57"/>
    <w:rsid w:val="65906DEB"/>
    <w:rsid w:val="65C15915"/>
    <w:rsid w:val="65CB08AD"/>
    <w:rsid w:val="65F3029E"/>
    <w:rsid w:val="660D3DB9"/>
    <w:rsid w:val="661012CB"/>
    <w:rsid w:val="661C7C5C"/>
    <w:rsid w:val="662F65D4"/>
    <w:rsid w:val="66C478CB"/>
    <w:rsid w:val="685C0B24"/>
    <w:rsid w:val="6904590E"/>
    <w:rsid w:val="6A0D0F70"/>
    <w:rsid w:val="6A1A03AA"/>
    <w:rsid w:val="6A394651"/>
    <w:rsid w:val="6AA66486"/>
    <w:rsid w:val="6B533323"/>
    <w:rsid w:val="6B7A7AE3"/>
    <w:rsid w:val="6C325E7E"/>
    <w:rsid w:val="6D530806"/>
    <w:rsid w:val="6DCF5B68"/>
    <w:rsid w:val="6E973570"/>
    <w:rsid w:val="6ED00995"/>
    <w:rsid w:val="6F767EFE"/>
    <w:rsid w:val="704F3FE3"/>
    <w:rsid w:val="7056024D"/>
    <w:rsid w:val="70962A58"/>
    <w:rsid w:val="710225E9"/>
    <w:rsid w:val="71382591"/>
    <w:rsid w:val="71C13224"/>
    <w:rsid w:val="71F91A05"/>
    <w:rsid w:val="72181D1E"/>
    <w:rsid w:val="72412981"/>
    <w:rsid w:val="72516DE5"/>
    <w:rsid w:val="726031F4"/>
    <w:rsid w:val="730419E2"/>
    <w:rsid w:val="73176CA4"/>
    <w:rsid w:val="735D191F"/>
    <w:rsid w:val="736A23E7"/>
    <w:rsid w:val="740B1955"/>
    <w:rsid w:val="743166BE"/>
    <w:rsid w:val="74AE0429"/>
    <w:rsid w:val="74CC4F09"/>
    <w:rsid w:val="75237E76"/>
    <w:rsid w:val="755C32F4"/>
    <w:rsid w:val="758F565B"/>
    <w:rsid w:val="76164B6D"/>
    <w:rsid w:val="76D02233"/>
    <w:rsid w:val="79B53084"/>
    <w:rsid w:val="79C8529B"/>
    <w:rsid w:val="7A022E0D"/>
    <w:rsid w:val="7A826731"/>
    <w:rsid w:val="7AF30168"/>
    <w:rsid w:val="7B1633FD"/>
    <w:rsid w:val="7C0619D3"/>
    <w:rsid w:val="7C35538A"/>
    <w:rsid w:val="7DC86131"/>
    <w:rsid w:val="7DC90FFE"/>
    <w:rsid w:val="7DEA337D"/>
    <w:rsid w:val="7E834979"/>
    <w:rsid w:val="7ED73662"/>
    <w:rsid w:val="7EDB6AD5"/>
    <w:rsid w:val="7EDB6FC0"/>
    <w:rsid w:val="7F57674C"/>
    <w:rsid w:val="7FB06742"/>
    <w:rsid w:val="7FCE2DD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3"/>
    <w:qFormat/>
    <w:uiPriority w:val="0"/>
    <w:pPr>
      <w:keepNext/>
      <w:outlineLvl w:val="0"/>
    </w:pPr>
    <w:rPr>
      <w:rFonts w:ascii="仿宋_GB2312" w:eastAsia="仿宋_GB2312"/>
      <w:sz w:val="28"/>
    </w:rPr>
  </w:style>
  <w:style w:type="paragraph" w:styleId="4">
    <w:name w:val="heading 2"/>
    <w:basedOn w:val="1"/>
    <w:next w:val="1"/>
    <w:link w:val="9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5"/>
    <w:qFormat/>
    <w:uiPriority w:val="0"/>
    <w:pPr>
      <w:keepNext/>
      <w:keepLines/>
      <w:spacing w:before="260" w:after="260" w:line="413" w:lineRule="auto"/>
      <w:jc w:val="center"/>
      <w:outlineLvl w:val="2"/>
    </w:pPr>
    <w:rPr>
      <w:b/>
      <w:sz w:val="32"/>
    </w:rPr>
  </w:style>
  <w:style w:type="paragraph" w:styleId="6">
    <w:name w:val="heading 4"/>
    <w:basedOn w:val="1"/>
    <w:next w:val="7"/>
    <w:link w:val="98"/>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8">
    <w:name w:val="heading 5"/>
    <w:basedOn w:val="1"/>
    <w:next w:val="1"/>
    <w:link w:val="99"/>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9">
    <w:name w:val="heading 6"/>
    <w:basedOn w:val="1"/>
    <w:next w:val="1"/>
    <w:link w:val="10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10">
    <w:name w:val="heading 7"/>
    <w:basedOn w:val="1"/>
    <w:next w:val="1"/>
    <w:link w:val="101"/>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1">
    <w:name w:val="heading 8"/>
    <w:basedOn w:val="1"/>
    <w:next w:val="1"/>
    <w:link w:val="10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2">
    <w:name w:val="heading 9"/>
    <w:basedOn w:val="1"/>
    <w:next w:val="1"/>
    <w:link w:val="10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2">
    <w:name w:val="Default Paragraph Font"/>
    <w:unhideWhenUsed/>
    <w:qFormat/>
    <w:uiPriority w:val="1"/>
  </w:style>
  <w:style w:type="table" w:default="1" w:styleId="3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96"/>
    <w:qFormat/>
    <w:uiPriority w:val="0"/>
    <w:pPr>
      <w:spacing w:line="480" w:lineRule="auto"/>
      <w:jc w:val="center"/>
    </w:pPr>
    <w:rPr>
      <w:rFonts w:hint="eastAsia" w:ascii="宋体" w:eastAsia="楷体_GB2312"/>
      <w:b/>
      <w:sz w:val="72"/>
    </w:rPr>
  </w:style>
  <w:style w:type="paragraph" w:styleId="7">
    <w:name w:val="Normal Indent"/>
    <w:basedOn w:val="1"/>
    <w:link w:val="120"/>
    <w:qFormat/>
    <w:uiPriority w:val="0"/>
    <w:pPr>
      <w:autoSpaceDE w:val="0"/>
      <w:autoSpaceDN w:val="0"/>
      <w:spacing w:line="360" w:lineRule="auto"/>
      <w:ind w:left="181" w:firstLine="420"/>
    </w:pPr>
    <w:rPr>
      <w:sz w:val="24"/>
    </w:rPr>
  </w:style>
  <w:style w:type="paragraph" w:styleId="13">
    <w:name w:val="Body Text First Indent"/>
    <w:basedOn w:val="2"/>
    <w:link w:val="119"/>
    <w:qFormat/>
    <w:uiPriority w:val="0"/>
    <w:pPr>
      <w:spacing w:after="120" w:line="240" w:lineRule="auto"/>
      <w:ind w:firstLine="420" w:firstLineChars="100"/>
      <w:jc w:val="both"/>
    </w:pPr>
    <w:rPr>
      <w:rFonts w:hint="default" w:ascii="Times New Roman" w:eastAsia="宋体"/>
      <w:b w:val="0"/>
      <w:sz w:val="21"/>
      <w:szCs w:val="24"/>
    </w:rPr>
  </w:style>
  <w:style w:type="paragraph" w:styleId="14">
    <w:name w:val="List Number"/>
    <w:basedOn w:val="1"/>
    <w:qFormat/>
    <w:uiPriority w:val="0"/>
    <w:pPr>
      <w:numPr>
        <w:ilvl w:val="0"/>
        <w:numId w:val="1"/>
      </w:numPr>
      <w:tabs>
        <w:tab w:val="left" w:pos="360"/>
      </w:tabs>
    </w:pPr>
  </w:style>
  <w:style w:type="paragraph" w:styleId="15">
    <w:name w:val="Document Map"/>
    <w:basedOn w:val="1"/>
    <w:link w:val="117"/>
    <w:qFormat/>
    <w:uiPriority w:val="0"/>
    <w:rPr>
      <w:rFonts w:ascii="宋体"/>
      <w:sz w:val="18"/>
      <w:szCs w:val="18"/>
    </w:rPr>
  </w:style>
  <w:style w:type="paragraph" w:styleId="16">
    <w:name w:val="annotation text"/>
    <w:basedOn w:val="1"/>
    <w:link w:val="118"/>
    <w:semiHidden/>
    <w:qFormat/>
    <w:uiPriority w:val="0"/>
    <w:pPr>
      <w:jc w:val="left"/>
    </w:pPr>
    <w:rPr>
      <w:szCs w:val="24"/>
    </w:rPr>
  </w:style>
  <w:style w:type="paragraph" w:styleId="17">
    <w:name w:val="Salutation"/>
    <w:basedOn w:val="1"/>
    <w:next w:val="1"/>
    <w:link w:val="107"/>
    <w:qFormat/>
    <w:uiPriority w:val="0"/>
    <w:rPr>
      <w:szCs w:val="24"/>
    </w:rPr>
  </w:style>
  <w:style w:type="paragraph" w:styleId="18">
    <w:name w:val="Body Text 3"/>
    <w:basedOn w:val="1"/>
    <w:link w:val="110"/>
    <w:qFormat/>
    <w:uiPriority w:val="0"/>
    <w:pPr>
      <w:spacing w:line="300" w:lineRule="auto"/>
    </w:pPr>
    <w:rPr>
      <w:rFonts w:ascii="宋体" w:hAnsi="宋体" w:cs="Arial"/>
      <w:b/>
      <w:szCs w:val="24"/>
    </w:rPr>
  </w:style>
  <w:style w:type="paragraph" w:styleId="19">
    <w:name w:val="Body Text Indent"/>
    <w:basedOn w:val="1"/>
    <w:link w:val="105"/>
    <w:qFormat/>
    <w:uiPriority w:val="0"/>
    <w:pPr>
      <w:ind w:left="720" w:firstLine="360"/>
    </w:pPr>
    <w:rPr>
      <w:szCs w:val="24"/>
    </w:rPr>
  </w:style>
  <w:style w:type="paragraph" w:styleId="20">
    <w:name w:val="List 2"/>
    <w:basedOn w:val="1"/>
    <w:qFormat/>
    <w:uiPriority w:val="0"/>
    <w:pPr>
      <w:ind w:left="100" w:leftChars="200" w:hanging="200" w:hangingChars="200"/>
    </w:pPr>
    <w:rPr>
      <w:szCs w:val="24"/>
    </w:rPr>
  </w:style>
  <w:style w:type="paragraph" w:styleId="21">
    <w:name w:val="Plain Text"/>
    <w:basedOn w:val="1"/>
    <w:link w:val="97"/>
    <w:qFormat/>
    <w:uiPriority w:val="0"/>
    <w:rPr>
      <w:rFonts w:hint="eastAsia" w:ascii="宋体" w:hAnsi="Courier New"/>
    </w:rPr>
  </w:style>
  <w:style w:type="paragraph" w:styleId="22">
    <w:name w:val="Date"/>
    <w:basedOn w:val="1"/>
    <w:next w:val="1"/>
    <w:link w:val="109"/>
    <w:qFormat/>
    <w:uiPriority w:val="0"/>
    <w:pPr>
      <w:ind w:left="100" w:leftChars="2500"/>
    </w:pPr>
    <w:rPr>
      <w:rFonts w:ascii="宋体" w:hAnsi="宋体"/>
      <w:bCs/>
      <w:sz w:val="28"/>
      <w:szCs w:val="24"/>
    </w:rPr>
  </w:style>
  <w:style w:type="paragraph" w:styleId="23">
    <w:name w:val="Body Text Indent 2"/>
    <w:basedOn w:val="1"/>
    <w:link w:val="106"/>
    <w:qFormat/>
    <w:uiPriority w:val="0"/>
    <w:pPr>
      <w:ind w:left="718" w:leftChars="342" w:firstLine="560" w:firstLineChars="200"/>
    </w:pPr>
    <w:rPr>
      <w:rFonts w:ascii="宋体-18030" w:hAnsi="宋体-18030" w:eastAsia="宋体-18030"/>
      <w:sz w:val="28"/>
      <w:szCs w:val="24"/>
    </w:rPr>
  </w:style>
  <w:style w:type="paragraph" w:styleId="24">
    <w:name w:val="Balloon Text"/>
    <w:basedOn w:val="1"/>
    <w:link w:val="115"/>
    <w:semiHidden/>
    <w:qFormat/>
    <w:uiPriority w:val="0"/>
    <w:rPr>
      <w:sz w:val="18"/>
      <w:szCs w:val="18"/>
    </w:rPr>
  </w:style>
  <w:style w:type="paragraph" w:styleId="25">
    <w:name w:val="footer"/>
    <w:basedOn w:val="1"/>
    <w:link w:val="92"/>
    <w:unhideWhenUsed/>
    <w:qFormat/>
    <w:uiPriority w:val="0"/>
    <w:pPr>
      <w:tabs>
        <w:tab w:val="center" w:pos="4153"/>
        <w:tab w:val="right" w:pos="8306"/>
      </w:tabs>
      <w:snapToGrid w:val="0"/>
      <w:jc w:val="left"/>
    </w:pPr>
    <w:rPr>
      <w:sz w:val="18"/>
      <w:szCs w:val="18"/>
    </w:rPr>
  </w:style>
  <w:style w:type="paragraph" w:styleId="26">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tabs>
        <w:tab w:val="right" w:leader="dot" w:pos="9394"/>
      </w:tabs>
      <w:adjustRightInd w:val="0"/>
      <w:textAlignment w:val="baseline"/>
    </w:pPr>
    <w:rPr>
      <w:szCs w:val="24"/>
    </w:rPr>
  </w:style>
  <w:style w:type="paragraph" w:styleId="28">
    <w:name w:val="Body Text Indent 3"/>
    <w:basedOn w:val="1"/>
    <w:link w:val="104"/>
    <w:qFormat/>
    <w:uiPriority w:val="0"/>
    <w:pPr>
      <w:ind w:firstLine="420" w:firstLineChars="200"/>
    </w:pPr>
    <w:rPr>
      <w:szCs w:val="24"/>
    </w:rPr>
  </w:style>
  <w:style w:type="paragraph" w:styleId="29">
    <w:name w:val="Body Text 2"/>
    <w:basedOn w:val="1"/>
    <w:link w:val="108"/>
    <w:qFormat/>
    <w:uiPriority w:val="0"/>
    <w:pPr>
      <w:spacing w:after="120" w:line="480" w:lineRule="auto"/>
    </w:pPr>
    <w:rPr>
      <w:szCs w:val="24"/>
    </w:rPr>
  </w:style>
  <w:style w:type="paragraph" w:styleId="3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1">
    <w:name w:val="Title"/>
    <w:basedOn w:val="1"/>
    <w:link w:val="112"/>
    <w:qFormat/>
    <w:uiPriority w:val="0"/>
    <w:pPr>
      <w:adjustRightInd w:val="0"/>
      <w:spacing w:before="240" w:after="60" w:line="360" w:lineRule="atLeast"/>
      <w:jc w:val="center"/>
      <w:textAlignment w:val="baseline"/>
      <w:outlineLvl w:val="0"/>
    </w:pPr>
    <w:rPr>
      <w:rFonts w:ascii="Arial" w:hAnsi="Arial" w:cs="Arial"/>
      <w:b/>
      <w:bCs/>
      <w:sz w:val="32"/>
      <w:szCs w:val="32"/>
    </w:r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Hyperlink"/>
    <w:qFormat/>
    <w:uiPriority w:val="0"/>
    <w:rPr>
      <w:color w:val="0000CC"/>
      <w:u w:val="single"/>
    </w:rPr>
  </w:style>
  <w:style w:type="character" w:styleId="37">
    <w:name w:val="annotation reference"/>
    <w:semiHidden/>
    <w:qFormat/>
    <w:uiPriority w:val="0"/>
    <w:rPr>
      <w:sz w:val="21"/>
      <w:szCs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0">
    <w:name w:val="默认段落字体 Para Char"/>
    <w:basedOn w:val="1"/>
    <w:qFormat/>
    <w:uiPriority w:val="0"/>
    <w:pPr>
      <w:adjustRightInd w:val="0"/>
      <w:spacing w:line="360" w:lineRule="auto"/>
    </w:pPr>
    <w:rPr>
      <w:kern w:val="0"/>
      <w:sz w:val="24"/>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3">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4">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5">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7">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59">
    <w:name w:val="样式1"/>
    <w:basedOn w:val="1"/>
    <w:qFormat/>
    <w:uiPriority w:val="0"/>
    <w:pPr>
      <w:spacing w:line="360" w:lineRule="auto"/>
    </w:pPr>
    <w:rPr>
      <w:sz w:val="24"/>
    </w:rPr>
  </w:style>
  <w:style w:type="paragraph" w:customStyle="1" w:styleId="60">
    <w:name w:val="样式 标题 2H2h2Underrubrik1prop2标题 1.1Heading 2 HiddenHeading..."/>
    <w:basedOn w:val="4"/>
    <w:qFormat/>
    <w:uiPriority w:val="0"/>
    <w:pPr>
      <w:spacing w:line="240" w:lineRule="auto"/>
    </w:pPr>
    <w:rPr>
      <w:rFonts w:eastAsia="宋体"/>
      <w:szCs w:val="20"/>
    </w:rPr>
  </w:style>
  <w:style w:type="paragraph" w:customStyle="1" w:styleId="61">
    <w:name w:val="样式 标题 3H3h3Bold Headbh33rd levelh4Head 3level_3PIM 3L..."/>
    <w:basedOn w:val="5"/>
    <w:qFormat/>
    <w:uiPriority w:val="0"/>
    <w:pPr>
      <w:spacing w:line="416" w:lineRule="atLeast"/>
      <w:jc w:val="both"/>
    </w:pPr>
    <w:rPr>
      <w:bCs/>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
    <w:name w:val="1"/>
    <w:basedOn w:val="1"/>
    <w:next w:val="21"/>
    <w:qFormat/>
    <w:uiPriority w:val="0"/>
    <w:rPr>
      <w:rFonts w:ascii="宋体" w:hAnsi="Courier New"/>
    </w:rPr>
  </w:style>
  <w:style w:type="paragraph" w:customStyle="1" w:styleId="64">
    <w:name w:val="手册-正文 Char Char Char Char"/>
    <w:link w:val="111"/>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5">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6">
    <w:name w:val="手册-图"/>
    <w:basedOn w:val="64"/>
    <w:qFormat/>
    <w:uiPriority w:val="0"/>
    <w:pPr>
      <w:ind w:firstLine="0" w:firstLineChars="0"/>
      <w:jc w:val="center"/>
    </w:pPr>
    <w:rPr>
      <w:rFonts w:eastAsia="黑体"/>
    </w:rPr>
  </w:style>
  <w:style w:type="paragraph" w:customStyle="1" w:styleId="67">
    <w:name w:val="手册-表"/>
    <w:basedOn w:val="66"/>
    <w:qFormat/>
    <w:uiPriority w:val="0"/>
  </w:style>
  <w:style w:type="paragraph" w:customStyle="1" w:styleId="68">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69">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0">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1">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2">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3">
    <w:name w:val="CRV 正文"/>
    <w:basedOn w:val="7"/>
    <w:qFormat/>
    <w:uiPriority w:val="0"/>
    <w:pPr>
      <w:adjustRightInd w:val="0"/>
      <w:ind w:left="0" w:firstLine="200" w:firstLineChars="200"/>
      <w:textAlignment w:val="baseline"/>
    </w:pPr>
    <w:rPr>
      <w:szCs w:val="24"/>
    </w:rPr>
  </w:style>
  <w:style w:type="paragraph" w:customStyle="1" w:styleId="74">
    <w:name w:val="手册-正文"/>
    <w:link w:val="113"/>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5">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6">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7">
    <w:name w:val="样式 标题 1H1Heading 0 + (西文) 黑体 (中文) 黑体 加粗 底端: (阳文三维 自动设置  3..."/>
    <w:basedOn w:val="3"/>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9">
    <w:name w:val="Char Char Char Char"/>
    <w:basedOn w:val="1"/>
    <w:qFormat/>
    <w:uiPriority w:val="0"/>
    <w:pPr>
      <w:tabs>
        <w:tab w:val="left" w:pos="432"/>
      </w:tabs>
      <w:ind w:left="432" w:hanging="432"/>
    </w:pPr>
    <w:rPr>
      <w:sz w:val="24"/>
      <w:szCs w:val="24"/>
    </w:rPr>
  </w:style>
  <w:style w:type="paragraph" w:customStyle="1" w:styleId="80">
    <w:name w:val="Char1 Char Char Char"/>
    <w:basedOn w:val="1"/>
    <w:qFormat/>
    <w:uiPriority w:val="0"/>
    <w:rPr>
      <w:rFonts w:ascii="Tahoma" w:hAnsi="Tahoma"/>
      <w:sz w:val="24"/>
    </w:rPr>
  </w:style>
  <w:style w:type="paragraph" w:customStyle="1" w:styleId="81">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2">
    <w:name w:val="Char1"/>
    <w:basedOn w:val="1"/>
    <w:qFormat/>
    <w:uiPriority w:val="0"/>
    <w:rPr>
      <w:rFonts w:ascii="Tahoma" w:hAnsi="Tahoma"/>
    </w:rPr>
  </w:style>
  <w:style w:type="paragraph" w:customStyle="1" w:styleId="83">
    <w:name w:val="默认段落字体 Para Char Char Char Char"/>
    <w:basedOn w:val="1"/>
    <w:qFormat/>
    <w:uiPriority w:val="0"/>
    <w:rPr>
      <w:szCs w:val="24"/>
    </w:rPr>
  </w:style>
  <w:style w:type="paragraph" w:customStyle="1" w:styleId="84">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5">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7">
    <w:name w:val="列出段落1"/>
    <w:basedOn w:val="1"/>
    <w:qFormat/>
    <w:uiPriority w:val="0"/>
    <w:pPr>
      <w:ind w:firstLine="420" w:firstLineChars="200"/>
    </w:pPr>
    <w:rPr>
      <w:szCs w:val="24"/>
    </w:rPr>
  </w:style>
  <w:style w:type="paragraph" w:customStyle="1" w:styleId="88">
    <w:name w:val="正文文本缩进 31"/>
    <w:basedOn w:val="1"/>
    <w:qFormat/>
    <w:uiPriority w:val="0"/>
    <w:pPr>
      <w:spacing w:after="120"/>
      <w:ind w:left="420" w:leftChars="200"/>
    </w:pPr>
    <w:rPr>
      <w:kern w:val="0"/>
      <w:sz w:val="16"/>
      <w:szCs w:val="16"/>
    </w:rPr>
  </w:style>
  <w:style w:type="paragraph" w:customStyle="1" w:styleId="89">
    <w:name w:val="列出段落2"/>
    <w:basedOn w:val="1"/>
    <w:qFormat/>
    <w:uiPriority w:val="0"/>
    <w:pPr>
      <w:ind w:firstLine="420" w:firstLineChars="200"/>
    </w:pPr>
  </w:style>
  <w:style w:type="paragraph" w:customStyle="1" w:styleId="90">
    <w:name w:val="列出段落3"/>
    <w:basedOn w:val="1"/>
    <w:qFormat/>
    <w:uiPriority w:val="34"/>
    <w:pPr>
      <w:ind w:firstLine="420" w:firstLineChars="200"/>
    </w:pPr>
  </w:style>
  <w:style w:type="character" w:customStyle="1" w:styleId="91">
    <w:name w:val="页眉 Char"/>
    <w:link w:val="26"/>
    <w:qFormat/>
    <w:uiPriority w:val="0"/>
    <w:rPr>
      <w:sz w:val="18"/>
      <w:szCs w:val="18"/>
    </w:rPr>
  </w:style>
  <w:style w:type="character" w:customStyle="1" w:styleId="92">
    <w:name w:val="页脚 Char"/>
    <w:link w:val="25"/>
    <w:qFormat/>
    <w:uiPriority w:val="0"/>
    <w:rPr>
      <w:sz w:val="18"/>
      <w:szCs w:val="18"/>
    </w:rPr>
  </w:style>
  <w:style w:type="character" w:customStyle="1" w:styleId="93">
    <w:name w:val="标题 1 Char"/>
    <w:link w:val="3"/>
    <w:qFormat/>
    <w:uiPriority w:val="0"/>
    <w:rPr>
      <w:rFonts w:ascii="仿宋_GB2312" w:hAnsi="Times New Roman" w:eastAsia="仿宋_GB2312" w:cs="Times New Roman"/>
      <w:sz w:val="28"/>
      <w:szCs w:val="20"/>
    </w:rPr>
  </w:style>
  <w:style w:type="character" w:customStyle="1" w:styleId="94">
    <w:name w:val="标题 2 Char"/>
    <w:link w:val="4"/>
    <w:qFormat/>
    <w:uiPriority w:val="0"/>
    <w:rPr>
      <w:rFonts w:ascii="Arial" w:hAnsi="Arial" w:eastAsia="黑体" w:cs="Times New Roman"/>
      <w:b/>
      <w:bCs/>
      <w:sz w:val="32"/>
      <w:szCs w:val="32"/>
    </w:rPr>
  </w:style>
  <w:style w:type="character" w:customStyle="1" w:styleId="95">
    <w:name w:val="标题 3 Char"/>
    <w:link w:val="5"/>
    <w:qFormat/>
    <w:uiPriority w:val="0"/>
    <w:rPr>
      <w:rFonts w:ascii="Times New Roman" w:hAnsi="Times New Roman" w:eastAsia="宋体" w:cs="Times New Roman"/>
      <w:b/>
      <w:sz w:val="32"/>
      <w:szCs w:val="20"/>
    </w:rPr>
  </w:style>
  <w:style w:type="character" w:customStyle="1" w:styleId="96">
    <w:name w:val="正文文本 Char"/>
    <w:link w:val="2"/>
    <w:qFormat/>
    <w:uiPriority w:val="0"/>
    <w:rPr>
      <w:rFonts w:ascii="宋体" w:hAnsi="Times New Roman" w:eastAsia="楷体_GB2312" w:cs="Times New Roman"/>
      <w:b/>
      <w:sz w:val="72"/>
      <w:szCs w:val="20"/>
    </w:rPr>
  </w:style>
  <w:style w:type="character" w:customStyle="1" w:styleId="97">
    <w:name w:val="纯文本 Char"/>
    <w:link w:val="21"/>
    <w:qFormat/>
    <w:uiPriority w:val="0"/>
    <w:rPr>
      <w:rFonts w:ascii="宋体" w:hAnsi="Courier New" w:eastAsia="宋体" w:cs="Times New Roman"/>
      <w:szCs w:val="20"/>
    </w:rPr>
  </w:style>
  <w:style w:type="character" w:customStyle="1" w:styleId="98">
    <w:name w:val="标题 4 Char"/>
    <w:link w:val="6"/>
    <w:qFormat/>
    <w:uiPriority w:val="0"/>
    <w:rPr>
      <w:rFonts w:ascii="宋体" w:hAnsi="Arial" w:eastAsia="宋体" w:cs="Times New Roman"/>
      <w:snapToGrid w:val="0"/>
      <w:color w:val="000000"/>
      <w:kern w:val="0"/>
      <w:szCs w:val="20"/>
    </w:rPr>
  </w:style>
  <w:style w:type="character" w:customStyle="1" w:styleId="99">
    <w:name w:val="标题 5 Char"/>
    <w:link w:val="8"/>
    <w:qFormat/>
    <w:uiPriority w:val="0"/>
    <w:rPr>
      <w:rFonts w:ascii="Times New Roman" w:hAnsi="Times New Roman" w:eastAsia="宋体" w:cs="Times New Roman"/>
      <w:b/>
      <w:bCs/>
      <w:sz w:val="28"/>
      <w:szCs w:val="28"/>
    </w:rPr>
  </w:style>
  <w:style w:type="character" w:customStyle="1" w:styleId="100">
    <w:name w:val="标题 6 Char"/>
    <w:link w:val="9"/>
    <w:qFormat/>
    <w:uiPriority w:val="0"/>
    <w:rPr>
      <w:rFonts w:ascii="Arial" w:hAnsi="Arial" w:eastAsia="黑体" w:cs="Times New Roman"/>
      <w:b/>
      <w:bCs/>
      <w:sz w:val="24"/>
      <w:szCs w:val="24"/>
    </w:rPr>
  </w:style>
  <w:style w:type="character" w:customStyle="1" w:styleId="101">
    <w:name w:val="标题 7 Char"/>
    <w:link w:val="10"/>
    <w:qFormat/>
    <w:uiPriority w:val="0"/>
    <w:rPr>
      <w:rFonts w:ascii="Times New Roman" w:hAnsi="Times New Roman" w:eastAsia="宋体" w:cs="Times New Roman"/>
      <w:b/>
      <w:bCs/>
      <w:sz w:val="24"/>
      <w:szCs w:val="24"/>
    </w:rPr>
  </w:style>
  <w:style w:type="character" w:customStyle="1" w:styleId="102">
    <w:name w:val="标题 8 Char"/>
    <w:link w:val="11"/>
    <w:qFormat/>
    <w:uiPriority w:val="0"/>
    <w:rPr>
      <w:rFonts w:ascii="Arial" w:hAnsi="Arial" w:eastAsia="黑体" w:cs="Times New Roman"/>
      <w:sz w:val="24"/>
      <w:szCs w:val="24"/>
    </w:rPr>
  </w:style>
  <w:style w:type="character" w:customStyle="1" w:styleId="103">
    <w:name w:val="标题 9 Char"/>
    <w:link w:val="12"/>
    <w:qFormat/>
    <w:uiPriority w:val="0"/>
    <w:rPr>
      <w:rFonts w:ascii="Arial" w:hAnsi="Arial" w:eastAsia="黑体" w:cs="Times New Roman"/>
      <w:szCs w:val="21"/>
    </w:rPr>
  </w:style>
  <w:style w:type="character" w:customStyle="1" w:styleId="104">
    <w:name w:val="正文文本缩进 3 Char"/>
    <w:link w:val="28"/>
    <w:qFormat/>
    <w:uiPriority w:val="0"/>
    <w:rPr>
      <w:rFonts w:ascii="Times New Roman" w:hAnsi="Times New Roman" w:eastAsia="宋体" w:cs="Times New Roman"/>
      <w:szCs w:val="24"/>
    </w:rPr>
  </w:style>
  <w:style w:type="character" w:customStyle="1" w:styleId="105">
    <w:name w:val="正文文本缩进 Char"/>
    <w:link w:val="19"/>
    <w:qFormat/>
    <w:uiPriority w:val="0"/>
    <w:rPr>
      <w:rFonts w:ascii="Times New Roman" w:hAnsi="Times New Roman" w:eastAsia="宋体" w:cs="Times New Roman"/>
      <w:szCs w:val="24"/>
    </w:rPr>
  </w:style>
  <w:style w:type="character" w:customStyle="1" w:styleId="106">
    <w:name w:val="正文文本缩进 2 Char"/>
    <w:link w:val="23"/>
    <w:qFormat/>
    <w:uiPriority w:val="0"/>
    <w:rPr>
      <w:rFonts w:ascii="宋体-18030" w:hAnsi="宋体-18030" w:eastAsia="宋体-18030" w:cs="Times New Roman"/>
      <w:sz w:val="28"/>
      <w:szCs w:val="24"/>
    </w:rPr>
  </w:style>
  <w:style w:type="character" w:customStyle="1" w:styleId="107">
    <w:name w:val="称呼 Char"/>
    <w:link w:val="17"/>
    <w:qFormat/>
    <w:uiPriority w:val="0"/>
    <w:rPr>
      <w:rFonts w:ascii="Times New Roman" w:hAnsi="Times New Roman" w:eastAsia="宋体" w:cs="Times New Roman"/>
      <w:szCs w:val="24"/>
    </w:rPr>
  </w:style>
  <w:style w:type="character" w:customStyle="1" w:styleId="108">
    <w:name w:val="正文文本 2 Char"/>
    <w:link w:val="29"/>
    <w:qFormat/>
    <w:uiPriority w:val="0"/>
    <w:rPr>
      <w:rFonts w:ascii="Times New Roman" w:hAnsi="Times New Roman" w:eastAsia="宋体" w:cs="Times New Roman"/>
      <w:szCs w:val="24"/>
    </w:rPr>
  </w:style>
  <w:style w:type="character" w:customStyle="1" w:styleId="109">
    <w:name w:val="日期 Char"/>
    <w:link w:val="22"/>
    <w:qFormat/>
    <w:uiPriority w:val="0"/>
    <w:rPr>
      <w:rFonts w:ascii="宋体" w:hAnsi="宋体" w:eastAsia="宋体" w:cs="Times New Roman"/>
      <w:bCs/>
      <w:sz w:val="28"/>
      <w:szCs w:val="24"/>
    </w:rPr>
  </w:style>
  <w:style w:type="character" w:customStyle="1" w:styleId="110">
    <w:name w:val="正文文本 3 Char"/>
    <w:link w:val="18"/>
    <w:qFormat/>
    <w:uiPriority w:val="0"/>
    <w:rPr>
      <w:rFonts w:ascii="宋体" w:hAnsi="宋体" w:eastAsia="宋体" w:cs="Arial"/>
      <w:b/>
      <w:szCs w:val="24"/>
    </w:rPr>
  </w:style>
  <w:style w:type="character" w:customStyle="1" w:styleId="111">
    <w:name w:val="手册-正文 Char Char Char Char Char"/>
    <w:link w:val="64"/>
    <w:qFormat/>
    <w:uiPriority w:val="0"/>
    <w:rPr>
      <w:rFonts w:ascii="Times New Roman" w:hAnsi="Times New Roman" w:eastAsia="宋体" w:cs="Times New Roman"/>
      <w:kern w:val="0"/>
      <w:sz w:val="22"/>
      <w:szCs w:val="20"/>
    </w:rPr>
  </w:style>
  <w:style w:type="character" w:customStyle="1" w:styleId="112">
    <w:name w:val="标题 Char"/>
    <w:link w:val="31"/>
    <w:qFormat/>
    <w:uiPriority w:val="0"/>
    <w:rPr>
      <w:rFonts w:ascii="Arial" w:hAnsi="Arial" w:eastAsia="宋体" w:cs="Arial"/>
      <w:b/>
      <w:bCs/>
      <w:sz w:val="32"/>
      <w:szCs w:val="32"/>
    </w:rPr>
  </w:style>
  <w:style w:type="character" w:customStyle="1" w:styleId="113">
    <w:name w:val="手册-正文 Char"/>
    <w:link w:val="74"/>
    <w:qFormat/>
    <w:uiPriority w:val="0"/>
    <w:rPr>
      <w:rFonts w:ascii="Times New Roman" w:hAnsi="Times New Roman" w:eastAsia="宋体" w:cs="Times New Roman"/>
      <w:kern w:val="0"/>
      <w:szCs w:val="20"/>
    </w:rPr>
  </w:style>
  <w:style w:type="character" w:customStyle="1" w:styleId="114">
    <w:name w:val="手册-正文 Char Char Char Char Char1"/>
    <w:qFormat/>
    <w:uiPriority w:val="0"/>
    <w:rPr>
      <w:rFonts w:eastAsia="宋体"/>
      <w:sz w:val="22"/>
      <w:lang w:val="en-US" w:eastAsia="zh-CN" w:bidi="ar-SA"/>
    </w:rPr>
  </w:style>
  <w:style w:type="character" w:customStyle="1" w:styleId="115">
    <w:name w:val="批注框文本 Char"/>
    <w:link w:val="24"/>
    <w:semiHidden/>
    <w:qFormat/>
    <w:uiPriority w:val="0"/>
    <w:rPr>
      <w:rFonts w:ascii="Times New Roman" w:hAnsi="Times New Roman" w:eastAsia="宋体" w:cs="Times New Roman"/>
      <w:sz w:val="18"/>
      <w:szCs w:val="18"/>
    </w:rPr>
  </w:style>
  <w:style w:type="character" w:customStyle="1" w:styleId="116">
    <w:name w:val="unnamed1"/>
    <w:basedOn w:val="32"/>
    <w:qFormat/>
    <w:uiPriority w:val="0"/>
  </w:style>
  <w:style w:type="character" w:customStyle="1" w:styleId="117">
    <w:name w:val="文档结构图 Char"/>
    <w:link w:val="15"/>
    <w:qFormat/>
    <w:uiPriority w:val="0"/>
    <w:rPr>
      <w:rFonts w:ascii="宋体" w:hAnsi="Times New Roman" w:eastAsia="宋体" w:cs="Times New Roman"/>
      <w:sz w:val="18"/>
      <w:szCs w:val="18"/>
    </w:rPr>
  </w:style>
  <w:style w:type="character" w:customStyle="1" w:styleId="118">
    <w:name w:val="批注文字 Char"/>
    <w:link w:val="16"/>
    <w:semiHidden/>
    <w:qFormat/>
    <w:uiPriority w:val="0"/>
    <w:rPr>
      <w:rFonts w:ascii="Times New Roman" w:hAnsi="Times New Roman" w:eastAsia="宋体" w:cs="Times New Roman"/>
      <w:szCs w:val="24"/>
    </w:rPr>
  </w:style>
  <w:style w:type="character" w:customStyle="1" w:styleId="119">
    <w:name w:val="正文首行缩进 Char"/>
    <w:link w:val="13"/>
    <w:qFormat/>
    <w:uiPriority w:val="0"/>
    <w:rPr>
      <w:rFonts w:ascii="Times New Roman" w:hAnsi="Times New Roman" w:eastAsia="宋体" w:cs="Times New Roman"/>
      <w:sz w:val="72"/>
      <w:szCs w:val="24"/>
    </w:rPr>
  </w:style>
  <w:style w:type="character" w:customStyle="1" w:styleId="120">
    <w:name w:val="正文缩进 Char"/>
    <w:link w:val="7"/>
    <w:qFormat/>
    <w:uiPriority w:val="0"/>
    <w:rPr>
      <w:rFonts w:ascii="Times New Roman" w:hAnsi="Times New Roman" w:eastAsia="宋体" w:cs="Times New Roman"/>
      <w:sz w:val="24"/>
      <w:szCs w:val="20"/>
    </w:rPr>
  </w:style>
  <w:style w:type="character" w:customStyle="1" w:styleId="121">
    <w:name w:val="font51"/>
    <w:qFormat/>
    <w:uiPriority w:val="0"/>
    <w:rPr>
      <w:rFonts w:hint="default" w:ascii="Arial" w:hAnsi="Arial" w:cs="Arial"/>
      <w:color w:val="000000"/>
      <w:sz w:val="20"/>
      <w:szCs w:val="20"/>
      <w:u w:val="none"/>
    </w:rPr>
  </w:style>
  <w:style w:type="character" w:customStyle="1" w:styleId="122">
    <w:name w:val="font61"/>
    <w:qFormat/>
    <w:uiPriority w:val="0"/>
    <w:rPr>
      <w:rFonts w:hint="eastAsia" w:ascii="宋体" w:hAnsi="宋体" w:eastAsia="宋体"/>
      <w:color w:val="000000"/>
      <w:sz w:val="20"/>
      <w:szCs w:val="20"/>
      <w:u w:val="none"/>
    </w:rPr>
  </w:style>
  <w:style w:type="paragraph" w:customStyle="1" w:styleId="123">
    <w:name w:val="List Paragraph"/>
    <w:basedOn w:val="1"/>
    <w:qFormat/>
    <w:uiPriority w:val="99"/>
    <w:pPr>
      <w:ind w:firstLine="420" w:firstLineChars="200"/>
    </w:pPr>
  </w:style>
  <w:style w:type="paragraph" w:customStyle="1" w:styleId="124">
    <w:name w:val="正文格式"/>
    <w:basedOn w:val="1"/>
    <w:qFormat/>
    <w:uiPriority w:val="0"/>
    <w:pPr>
      <w:spacing w:beforeLines="50" w:afterLines="50" w:line="360" w:lineRule="auto"/>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ScaleCrop>false</ScaleCrop>
  <LinksUpToDate>false</LinksUpToDate>
  <CharactersWithSpaces>7797</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csrcb</cp:lastModifiedBy>
  <dcterms:modified xsi:type="dcterms:W3CDTF">2020-06-01T01:52:13Z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